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78A7" w:rsidRDefault="008078A7" w:rsidP="008078A7">
      <w:pPr>
        <w:pStyle w:val="Intestazio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39E44" wp14:editId="26DB93B0">
                <wp:simplePos x="0" y="0"/>
                <wp:positionH relativeFrom="column">
                  <wp:posOffset>82550</wp:posOffset>
                </wp:positionH>
                <wp:positionV relativeFrom="paragraph">
                  <wp:posOffset>50800</wp:posOffset>
                </wp:positionV>
                <wp:extent cx="1257300" cy="1485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A7" w:rsidRDefault="008078A7" w:rsidP="008078A7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39E44" id="Rectangle 2" o:spid="_x0000_s1026" style="position:absolute;margin-left:6.5pt;margin-top:4pt;width:99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" filled="f" stroked="f">
                <v:textbox inset="1pt,1pt,1pt,1pt">
                  <w:txbxContent>
                    <w:p w:rsidR="008078A7" w:rsidRDefault="008078A7" w:rsidP="008078A7">
                      <w:pPr>
                        <w:jc w:val="center"/>
                        <w:rPr>
                          <w:rFonts w:ascii="Tahoma" w:hAnsi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78A7" w:rsidRDefault="008078A7" w:rsidP="008078A7">
      <w:pPr>
        <w:pStyle w:val="Intestazione"/>
      </w:pPr>
    </w:p>
    <w:p w:rsidR="008078A7" w:rsidRDefault="008078A7" w:rsidP="008078A7">
      <w:pPr>
        <w:pStyle w:val="Intestazione"/>
        <w:jc w:val="center"/>
      </w:pPr>
      <w:r w:rsidRPr="003B35F6">
        <w:rPr>
          <w:rFonts w:ascii="Tahoma" w:hAnsi="Tahoma"/>
          <w:noProof/>
        </w:rPr>
        <w:drawing>
          <wp:inline distT="0" distB="0" distL="0" distR="0" wp14:anchorId="192312AC" wp14:editId="71900575">
            <wp:extent cx="800100" cy="1095375"/>
            <wp:effectExtent l="0" t="0" r="0" b="9525"/>
            <wp:docPr id="5" name="Immagine 1" descr="MILLESIMO STEMM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LESIMO STEMMA COLO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A7" w:rsidRPr="004266CD" w:rsidRDefault="008078A7" w:rsidP="008078A7">
      <w:pPr>
        <w:pStyle w:val="Intestazione"/>
        <w:rPr>
          <w:rFonts w:ascii="Tahoma" w:hAnsi="Tahoma" w:cs="Tahoma"/>
        </w:rPr>
      </w:pPr>
    </w:p>
    <w:p w:rsidR="008078A7" w:rsidRPr="004266CD" w:rsidRDefault="008078A7" w:rsidP="008078A7">
      <w:pPr>
        <w:pStyle w:val="Intestazione"/>
        <w:rPr>
          <w:rFonts w:ascii="Tahoma" w:hAnsi="Tahoma" w:cs="Tahoma"/>
        </w:rPr>
      </w:pPr>
    </w:p>
    <w:p w:rsidR="008078A7" w:rsidRPr="004266CD" w:rsidRDefault="008078A7" w:rsidP="008078A7">
      <w:pPr>
        <w:pStyle w:val="Intestazione"/>
        <w:rPr>
          <w:rFonts w:ascii="Tahoma" w:hAnsi="Tahoma" w:cs="Tahoma"/>
        </w:rPr>
      </w:pPr>
    </w:p>
    <w:p w:rsidR="008078A7" w:rsidRDefault="008078A7" w:rsidP="008078A7">
      <w:pPr>
        <w:pStyle w:val="Intestazione"/>
      </w:pPr>
    </w:p>
    <w:p w:rsidR="008078A7" w:rsidRPr="005A502F" w:rsidRDefault="008078A7" w:rsidP="008078A7">
      <w:pPr>
        <w:jc w:val="center"/>
        <w:rPr>
          <w:rFonts w:ascii="Tahoma" w:hAnsi="Tahoma" w:cs="Tahoma"/>
          <w:b/>
          <w:spacing w:val="60"/>
          <w:sz w:val="56"/>
          <w:szCs w:val="56"/>
        </w:rPr>
      </w:pPr>
      <w:r w:rsidRPr="005A502F">
        <w:rPr>
          <w:rFonts w:ascii="Tahoma" w:hAnsi="Tahoma" w:cs="Tahoma"/>
          <w:b/>
          <w:spacing w:val="60"/>
          <w:sz w:val="56"/>
          <w:szCs w:val="56"/>
        </w:rPr>
        <w:t>COMUNE DI MILLESIMO</w:t>
      </w:r>
    </w:p>
    <w:p w:rsidR="008078A7" w:rsidRPr="004266CD" w:rsidRDefault="008078A7" w:rsidP="008078A7">
      <w:pPr>
        <w:jc w:val="center"/>
        <w:rPr>
          <w:rFonts w:ascii="Tahoma" w:hAnsi="Tahoma" w:cs="Tahoma"/>
          <w:b/>
          <w:spacing w:val="60"/>
          <w:sz w:val="56"/>
          <w:szCs w:val="56"/>
        </w:rPr>
      </w:pPr>
    </w:p>
    <w:p w:rsidR="008078A7" w:rsidRPr="005A502F" w:rsidRDefault="008078A7" w:rsidP="0080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48"/>
          <w:szCs w:val="48"/>
        </w:rPr>
      </w:pPr>
      <w:r w:rsidRPr="005A502F">
        <w:rPr>
          <w:rFonts w:ascii="Tahoma" w:hAnsi="Tahoma" w:cs="Tahoma"/>
          <w:b/>
          <w:bCs/>
          <w:sz w:val="48"/>
          <w:szCs w:val="48"/>
        </w:rPr>
        <w:t>Piano di razionalizzazione delle società</w:t>
      </w:r>
    </w:p>
    <w:p w:rsidR="008078A7" w:rsidRPr="005A502F" w:rsidRDefault="008078A7" w:rsidP="0080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48"/>
          <w:szCs w:val="48"/>
        </w:rPr>
      </w:pPr>
      <w:proofErr w:type="gramStart"/>
      <w:r w:rsidRPr="005A502F">
        <w:rPr>
          <w:rFonts w:ascii="Tahoma" w:hAnsi="Tahoma" w:cs="Tahoma"/>
          <w:b/>
          <w:bCs/>
          <w:sz w:val="48"/>
          <w:szCs w:val="48"/>
        </w:rPr>
        <w:t>partecipate</w:t>
      </w:r>
      <w:proofErr w:type="gramEnd"/>
    </w:p>
    <w:p w:rsidR="008078A7" w:rsidRPr="005A502F" w:rsidRDefault="008078A7" w:rsidP="00807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5A502F">
        <w:rPr>
          <w:rFonts w:ascii="Tahoma" w:hAnsi="Tahoma" w:cs="Tahoma"/>
          <w:sz w:val="20"/>
          <w:szCs w:val="20"/>
        </w:rPr>
        <w:t>(</w:t>
      </w:r>
      <w:proofErr w:type="gramStart"/>
      <w:r w:rsidRPr="005A502F">
        <w:rPr>
          <w:rFonts w:ascii="Tahoma" w:hAnsi="Tahoma" w:cs="Tahoma"/>
          <w:sz w:val="20"/>
          <w:szCs w:val="20"/>
        </w:rPr>
        <w:t>articolo</w:t>
      </w:r>
      <w:proofErr w:type="gramEnd"/>
      <w:r w:rsidRPr="005A502F">
        <w:rPr>
          <w:rFonts w:ascii="Tahoma" w:hAnsi="Tahoma" w:cs="Tahoma"/>
          <w:sz w:val="20"/>
          <w:szCs w:val="20"/>
        </w:rPr>
        <w:t xml:space="preserve"> 1 commi 611 e seguenti della legge 190/2014)</w:t>
      </w:r>
    </w:p>
    <w:p w:rsidR="008078A7" w:rsidRPr="005A502F" w:rsidRDefault="008078A7" w:rsidP="008078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</w:rPr>
      </w:pP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53624">
        <w:rPr>
          <w:rFonts w:ascii="Tahoma" w:hAnsi="Tahoma" w:cs="Tahoma"/>
          <w:b/>
          <w:bCs/>
          <w:sz w:val="20"/>
          <w:szCs w:val="20"/>
        </w:rPr>
        <w:lastRenderedPageBreak/>
        <w:t>1. Premessa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Dopo il “</w:t>
      </w:r>
      <w:r w:rsidRPr="00753624">
        <w:rPr>
          <w:rFonts w:ascii="Tahoma" w:hAnsi="Tahoma" w:cs="Tahoma"/>
          <w:i/>
          <w:iCs/>
          <w:sz w:val="20"/>
          <w:szCs w:val="20"/>
        </w:rPr>
        <w:t>Piano Cottarelli</w:t>
      </w:r>
      <w:r w:rsidRPr="00753624">
        <w:rPr>
          <w:rFonts w:ascii="Tahoma" w:hAnsi="Tahoma" w:cs="Tahoma"/>
          <w:sz w:val="20"/>
          <w:szCs w:val="20"/>
        </w:rPr>
        <w:t xml:space="preserve">”, il documento dell’agosto 2014 con il quale l’allora commissario straordinario alla </w:t>
      </w:r>
      <w:proofErr w:type="spellStart"/>
      <w:r w:rsidRPr="00753624">
        <w:rPr>
          <w:rFonts w:ascii="Tahoma" w:hAnsi="Tahoma" w:cs="Tahoma"/>
          <w:i/>
          <w:iCs/>
          <w:sz w:val="20"/>
          <w:szCs w:val="20"/>
        </w:rPr>
        <w:t>spending</w:t>
      </w:r>
      <w:proofErr w:type="spellEnd"/>
      <w:r w:rsidRPr="00753624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753624">
        <w:rPr>
          <w:rFonts w:ascii="Tahoma" w:hAnsi="Tahoma" w:cs="Tahoma"/>
          <w:i/>
          <w:iCs/>
          <w:sz w:val="20"/>
          <w:szCs w:val="20"/>
        </w:rPr>
        <w:t>review</w:t>
      </w:r>
      <w:proofErr w:type="spellEnd"/>
      <w:r w:rsidRPr="00753624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auspicava la drastica riduzione delle società partecipate da circa 8.000 a circa 1.000, la legge di stabilità per il 2015 (legge 190/2014) ha imposto agli enti locali l’avvio un “</w:t>
      </w:r>
      <w:r w:rsidRPr="00753624">
        <w:rPr>
          <w:rFonts w:ascii="Tahoma" w:hAnsi="Tahoma" w:cs="Tahoma"/>
          <w:i/>
          <w:iCs/>
          <w:sz w:val="20"/>
          <w:szCs w:val="20"/>
        </w:rPr>
        <w:t>processo di razionalizzazione</w:t>
      </w:r>
      <w:r w:rsidRPr="00753624">
        <w:rPr>
          <w:rFonts w:ascii="Tahoma" w:hAnsi="Tahoma" w:cs="Tahoma"/>
          <w:sz w:val="20"/>
          <w:szCs w:val="20"/>
        </w:rPr>
        <w:t>” che possa produrre risultati già entro fine 2015.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Il comma 611 della legge 190/2014 dispone che, allo scopo di assicurare il “</w:t>
      </w:r>
      <w:r w:rsidRPr="00753624">
        <w:rPr>
          <w:rFonts w:ascii="Tahoma" w:hAnsi="Tahoma" w:cs="Tahoma"/>
          <w:i/>
          <w:iCs/>
          <w:sz w:val="20"/>
          <w:szCs w:val="20"/>
        </w:rPr>
        <w:t>coordinamento della finanza pubblica, il contenimento della spesa, il buon andamento dell'azione amministrativa e la tutela della concorrenza e del mercato</w:t>
      </w:r>
      <w:r w:rsidRPr="00753624">
        <w:rPr>
          <w:rFonts w:ascii="Tahoma" w:hAnsi="Tahoma" w:cs="Tahoma"/>
          <w:sz w:val="20"/>
          <w:szCs w:val="20"/>
        </w:rPr>
        <w:t>”, gli enti locali devono avviare un “</w:t>
      </w:r>
      <w:r w:rsidRPr="00753624">
        <w:rPr>
          <w:rFonts w:ascii="Tahoma" w:hAnsi="Tahoma" w:cs="Tahoma"/>
          <w:i/>
          <w:iCs/>
          <w:sz w:val="20"/>
          <w:szCs w:val="20"/>
        </w:rPr>
        <w:t>processo di razionalizzazione</w:t>
      </w:r>
      <w:r w:rsidRPr="00753624">
        <w:rPr>
          <w:rFonts w:ascii="Tahoma" w:hAnsi="Tahoma" w:cs="Tahoma"/>
          <w:sz w:val="20"/>
          <w:szCs w:val="20"/>
        </w:rPr>
        <w:t>” delle società e delle partecipazioni, dirette e indirette, che permetta di conseguirne una riduzione entro il 31 dicembre 2015.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Lo stesso comma 611 indica i criteri generali cui si deve ispirare il “</w:t>
      </w:r>
      <w:r w:rsidRPr="00753624">
        <w:rPr>
          <w:rFonts w:ascii="Tahoma" w:hAnsi="Tahoma" w:cs="Tahoma"/>
          <w:i/>
          <w:iCs/>
          <w:sz w:val="20"/>
          <w:szCs w:val="20"/>
        </w:rPr>
        <w:t>processo di razionalizzazione</w:t>
      </w:r>
      <w:r w:rsidRPr="00753624">
        <w:rPr>
          <w:rFonts w:ascii="Tahoma" w:hAnsi="Tahoma" w:cs="Tahoma"/>
          <w:sz w:val="20"/>
          <w:szCs w:val="20"/>
        </w:rPr>
        <w:t>”: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a) eliminare le società e le partecipazioni non indispensabili al perseguimento delle finalità istituzionali, anche mediante liquidazioni o cessioni;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b) sopprimere le società che risultino composte da soli amministratori o da un numero di amministratori superiore a quello dei dipendenti;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c) eliminare le partecipazioni in società che svolgono attività analoghe o similari a quelle svolte da altre società partecipate o da enti pubblici strumentali, anche mediante operazioni di fusione o di internalizzazione delle funzioni;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d) aggregare società di servizi pubblici locali di rilevanza economica;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e) contenere i costi di funzionamento, anche mediante la riorganizzazione degli organi amministrativi e di controllo e delle strutture aziendali, ovvero riducendo le relative remunerazioni.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53624">
        <w:rPr>
          <w:rFonts w:ascii="Tahoma" w:hAnsi="Tahoma" w:cs="Tahoma"/>
          <w:b/>
          <w:bCs/>
          <w:sz w:val="20"/>
          <w:szCs w:val="20"/>
        </w:rPr>
        <w:t>2. Piano operativo e rendicontazione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Il comma 612 della legge 190/2014 prevede che i sindaci e gli altri organi di vertice delle amministrazioni, “</w:t>
      </w:r>
      <w:r w:rsidRPr="00753624">
        <w:rPr>
          <w:rFonts w:ascii="Tahoma" w:hAnsi="Tahoma" w:cs="Tahoma"/>
          <w:i/>
          <w:iCs/>
          <w:sz w:val="20"/>
          <w:szCs w:val="20"/>
        </w:rPr>
        <w:t>in relazione ai rispettivi ambiti di competenza</w:t>
      </w:r>
      <w:r w:rsidRPr="00753624">
        <w:rPr>
          <w:rFonts w:ascii="Tahoma" w:hAnsi="Tahoma" w:cs="Tahoma"/>
          <w:sz w:val="20"/>
          <w:szCs w:val="20"/>
        </w:rPr>
        <w:t>”, definiscano e approvino, entro il 31 marzo 2015, un piano operativo di razionalizzazione delle società e delle partecipazioni.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Il piano definisce modalità, tempi di attuazione, l'esposizione in dettaglio dei risparmi da conseguire. Allo stesso è allegata una specifica relazione tecnica.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Il piano è trasmesso alla competente sezione regionale di controllo della Corte dei conti e pubblicato nel sito internet dell'amministrazione.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La pubblicazione è obbligatoria agli effetti del “</w:t>
      </w:r>
      <w:r w:rsidRPr="00753624">
        <w:rPr>
          <w:rFonts w:ascii="Tahoma" w:hAnsi="Tahoma" w:cs="Tahoma"/>
          <w:i/>
          <w:iCs/>
          <w:sz w:val="20"/>
          <w:szCs w:val="20"/>
        </w:rPr>
        <w:t>decreto trasparenza</w:t>
      </w:r>
      <w:r w:rsidRPr="00753624">
        <w:rPr>
          <w:rFonts w:ascii="Tahoma" w:hAnsi="Tahoma" w:cs="Tahoma"/>
          <w:sz w:val="20"/>
          <w:szCs w:val="20"/>
        </w:rPr>
        <w:t>” (d.lgs. 33/2013). Pertanto nel caso sia omessa è attivabile da chiunque l’istituto dell’accesso civico.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 sindaci e gli altri organi di vertice delle amministrazioni, “</w:t>
      </w:r>
      <w:r w:rsidRPr="00753624">
        <w:rPr>
          <w:rFonts w:ascii="Tahoma" w:hAnsi="Tahoma" w:cs="Tahoma"/>
          <w:i/>
          <w:iCs/>
          <w:sz w:val="20"/>
          <w:szCs w:val="20"/>
        </w:rPr>
        <w:t>in relazione ai rispettivi ambiti di competenza</w:t>
      </w:r>
      <w:r w:rsidRPr="00753624">
        <w:rPr>
          <w:rFonts w:ascii="Tahoma" w:hAnsi="Tahoma" w:cs="Tahoma"/>
          <w:sz w:val="20"/>
          <w:szCs w:val="20"/>
        </w:rPr>
        <w:t>”, entro il 31 marzo 2016, hanno l’onere di predisporre una relazione sui risultati</w:t>
      </w:r>
      <w:r w:rsidR="005A502F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conseguiti.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Anche tale relazione “</w:t>
      </w:r>
      <w:r w:rsidRPr="00753624">
        <w:rPr>
          <w:rFonts w:ascii="Tahoma" w:hAnsi="Tahoma" w:cs="Tahoma"/>
          <w:i/>
          <w:iCs/>
          <w:sz w:val="20"/>
          <w:szCs w:val="20"/>
        </w:rPr>
        <w:t>a consuntivo</w:t>
      </w:r>
      <w:r w:rsidRPr="00753624">
        <w:rPr>
          <w:rFonts w:ascii="Tahoma" w:hAnsi="Tahoma" w:cs="Tahoma"/>
          <w:sz w:val="20"/>
          <w:szCs w:val="20"/>
        </w:rPr>
        <w:t>” deve essere trasmessa alla competente sezione regionale di controllo della Corte dei conti e, quindi, pubblicata nel sito internet dell'amministrazione interessata.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La pubblicazione della relazione è obbligatoria agli effetti del “</w:t>
      </w:r>
      <w:r w:rsidRPr="00753624">
        <w:rPr>
          <w:rFonts w:ascii="Tahoma" w:hAnsi="Tahoma" w:cs="Tahoma"/>
          <w:i/>
          <w:iCs/>
          <w:sz w:val="20"/>
          <w:szCs w:val="20"/>
        </w:rPr>
        <w:t>decreto trasparenza</w:t>
      </w:r>
      <w:r w:rsidRPr="00753624">
        <w:rPr>
          <w:rFonts w:ascii="Tahoma" w:hAnsi="Tahoma" w:cs="Tahoma"/>
          <w:sz w:val="20"/>
          <w:szCs w:val="20"/>
        </w:rPr>
        <w:t>” (d.lgs.</w:t>
      </w:r>
      <w:r w:rsidR="005A502F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33/2013).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Come sopra precisato la legge di stabilità 2015 individua nel sindaco e negli altri organi di</w:t>
      </w:r>
      <w:r w:rsidR="005A502F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vertice dell’amministrazione, “</w:t>
      </w:r>
      <w:r w:rsidRPr="00753624">
        <w:rPr>
          <w:rFonts w:ascii="Tahoma" w:hAnsi="Tahoma" w:cs="Tahoma"/>
          <w:i/>
          <w:iCs/>
          <w:sz w:val="20"/>
          <w:szCs w:val="20"/>
        </w:rPr>
        <w:t>in relazione ai rispettivi ambiti di competenza</w:t>
      </w:r>
      <w:r w:rsidRPr="00753624">
        <w:rPr>
          <w:rFonts w:ascii="Tahoma" w:hAnsi="Tahoma" w:cs="Tahoma"/>
          <w:sz w:val="20"/>
          <w:szCs w:val="20"/>
        </w:rPr>
        <w:t>”, i soggetti preposti ad approvare il piano operativo e la relazione a consuntivo.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E’ di tutta evidenza che l’organo deputato ad approvare tali documenti per gli enti locali è il</w:t>
      </w:r>
      <w:r w:rsidR="005A502F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consiglio comunale. Lo si evince dalla lettera e) del secondo comma dell’articolo 42 del TUEL che conferisce al consiglio competenza esclusiva in materia di “</w:t>
      </w:r>
      <w:r w:rsidRPr="00753624">
        <w:rPr>
          <w:rFonts w:ascii="Tahoma" w:hAnsi="Tahoma" w:cs="Tahoma"/>
          <w:i/>
          <w:iCs/>
          <w:sz w:val="20"/>
          <w:szCs w:val="20"/>
        </w:rPr>
        <w:t>partecipazione dell’ente locale a società di capitali</w:t>
      </w:r>
      <w:r w:rsidRPr="00753624">
        <w:rPr>
          <w:rFonts w:ascii="Tahoma" w:hAnsi="Tahoma" w:cs="Tahoma"/>
          <w:sz w:val="20"/>
          <w:szCs w:val="20"/>
        </w:rPr>
        <w:t>”.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Per osservare “</w:t>
      </w:r>
      <w:r w:rsidRPr="00753624">
        <w:rPr>
          <w:rFonts w:ascii="Tahoma" w:hAnsi="Tahoma" w:cs="Tahoma"/>
          <w:i/>
          <w:iCs/>
          <w:sz w:val="20"/>
          <w:szCs w:val="20"/>
        </w:rPr>
        <w:t>alla lettera</w:t>
      </w:r>
      <w:r w:rsidRPr="00753624">
        <w:rPr>
          <w:rFonts w:ascii="Tahoma" w:hAnsi="Tahoma" w:cs="Tahoma"/>
          <w:sz w:val="20"/>
          <w:szCs w:val="20"/>
        </w:rPr>
        <w:t>” il comma 612, che sembra voler coinvolgere anche la figura del sindaco nel processo decisionale, le deliberazioni consiliari di approvazione del piano operativo e della relazione potranno essere assunte “</w:t>
      </w:r>
      <w:r w:rsidRPr="00753624">
        <w:rPr>
          <w:rFonts w:ascii="Tahoma" w:hAnsi="Tahoma" w:cs="Tahoma"/>
          <w:i/>
          <w:iCs/>
          <w:sz w:val="20"/>
          <w:szCs w:val="20"/>
        </w:rPr>
        <w:t>su proposta</w:t>
      </w:r>
      <w:r w:rsidRPr="00753624">
        <w:rPr>
          <w:rFonts w:ascii="Tahoma" w:hAnsi="Tahoma" w:cs="Tahoma"/>
          <w:sz w:val="20"/>
          <w:szCs w:val="20"/>
        </w:rPr>
        <w:t>” proprio del sindaco.</w:t>
      </w:r>
    </w:p>
    <w:p w:rsidR="00383F4D" w:rsidRPr="00753624" w:rsidRDefault="00383F4D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Tuttavia si ritiene di adottare la seguente procedura:</w:t>
      </w:r>
    </w:p>
    <w:p w:rsidR="00383F4D" w:rsidRPr="00753624" w:rsidRDefault="00383F4D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53624">
        <w:rPr>
          <w:rFonts w:ascii="Tahoma" w:hAnsi="Tahoma" w:cs="Tahoma"/>
          <w:sz w:val="20"/>
          <w:szCs w:val="20"/>
        </w:rPr>
        <w:t>redazione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del piano di razionalizzazione e sua pubblicazione nella sezione Trasparenza, da parte del Sindaco;</w:t>
      </w:r>
    </w:p>
    <w:p w:rsidR="00383F4D" w:rsidRPr="00753624" w:rsidRDefault="00383F4D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53624">
        <w:rPr>
          <w:rFonts w:ascii="Tahoma" w:hAnsi="Tahoma" w:cs="Tahoma"/>
          <w:sz w:val="20"/>
          <w:szCs w:val="20"/>
        </w:rPr>
        <w:t>comunicazione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al consiglio comunale nelle prima seduta utile;</w:t>
      </w:r>
    </w:p>
    <w:p w:rsidR="00427987" w:rsidRPr="00753624" w:rsidRDefault="00383F4D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53624">
        <w:rPr>
          <w:rFonts w:ascii="Tahoma" w:hAnsi="Tahoma" w:cs="Tahoma"/>
          <w:sz w:val="20"/>
          <w:szCs w:val="20"/>
        </w:rPr>
        <w:t>adozione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di eventuali provvedimenti attuativi del piano dell’organo competente che risulta essere il Consiglio comunale, ai sensi del richiamato art. 42 TUEL lettera</w:t>
      </w:r>
      <w:r w:rsidR="00427987" w:rsidRPr="00753624">
        <w:rPr>
          <w:rFonts w:ascii="Tahoma" w:hAnsi="Tahoma" w:cs="Tahoma"/>
          <w:sz w:val="20"/>
          <w:szCs w:val="20"/>
        </w:rPr>
        <w:t xml:space="preserve"> e).</w:t>
      </w:r>
    </w:p>
    <w:p w:rsidR="00383F4D" w:rsidRPr="00753624" w:rsidRDefault="00383F4D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 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53624">
        <w:rPr>
          <w:rFonts w:ascii="Tahoma" w:hAnsi="Tahoma" w:cs="Tahoma"/>
          <w:b/>
          <w:bCs/>
          <w:sz w:val="20"/>
          <w:szCs w:val="20"/>
        </w:rPr>
        <w:t>3. Attuazione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53624">
        <w:rPr>
          <w:rFonts w:ascii="Tahoma" w:hAnsi="Tahoma" w:cs="Tahoma"/>
          <w:sz w:val="20"/>
          <w:szCs w:val="20"/>
        </w:rPr>
        <w:t>il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piano operativo </w:t>
      </w:r>
      <w:r w:rsidR="00427987" w:rsidRPr="00753624">
        <w:rPr>
          <w:rFonts w:ascii="Tahoma" w:hAnsi="Tahoma" w:cs="Tahoma"/>
          <w:sz w:val="20"/>
          <w:szCs w:val="20"/>
        </w:rPr>
        <w:t xml:space="preserve">sarà </w:t>
      </w:r>
      <w:r w:rsidRPr="00753624">
        <w:rPr>
          <w:rFonts w:ascii="Tahoma" w:hAnsi="Tahoma" w:cs="Tahoma"/>
          <w:sz w:val="20"/>
          <w:szCs w:val="20"/>
        </w:rPr>
        <w:t>attuato attraverso deliberazioni del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consiglio che potranno prevedere cessioni, scioglimenti, accorpamenti, fusioni.</w:t>
      </w:r>
    </w:p>
    <w:p w:rsidR="004266CD" w:rsidRDefault="008078A7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Il comma 613 della legge di stabilità precisa che, nel caso le società siano state costituite (o le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partecipazioni acquistate) “</w:t>
      </w:r>
      <w:r w:rsidRPr="00753624">
        <w:rPr>
          <w:rFonts w:ascii="Tahoma" w:hAnsi="Tahoma" w:cs="Tahoma"/>
          <w:i/>
          <w:iCs/>
          <w:sz w:val="20"/>
          <w:szCs w:val="20"/>
        </w:rPr>
        <w:t>per espressa previsione normativa</w:t>
      </w:r>
      <w:r w:rsidRPr="00753624">
        <w:rPr>
          <w:rFonts w:ascii="Tahoma" w:hAnsi="Tahoma" w:cs="Tahoma"/>
          <w:sz w:val="20"/>
          <w:szCs w:val="20"/>
        </w:rPr>
        <w:t>”, le deliberazioni di scioglimento e di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 xml:space="preserve">liquidazione e gli atti di </w:t>
      </w:r>
    </w:p>
    <w:p w:rsidR="004266CD" w:rsidRDefault="004266CD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266CD" w:rsidRDefault="004266CD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078A7" w:rsidRPr="00753624" w:rsidRDefault="008078A7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53624">
        <w:rPr>
          <w:rFonts w:ascii="Tahoma" w:hAnsi="Tahoma" w:cs="Tahoma"/>
          <w:sz w:val="20"/>
          <w:szCs w:val="20"/>
        </w:rPr>
        <w:lastRenderedPageBreak/>
        <w:t>dismissione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sono disciplinati unicamente dalle disposizioni del codice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civile e “</w:t>
      </w:r>
      <w:r w:rsidRPr="00753624">
        <w:rPr>
          <w:rFonts w:ascii="Tahoma" w:hAnsi="Tahoma" w:cs="Tahoma"/>
          <w:i/>
          <w:iCs/>
          <w:sz w:val="20"/>
          <w:szCs w:val="20"/>
        </w:rPr>
        <w:t>non richiedono né l'abrogazione né la modifica della previsione normativa originaria</w:t>
      </w:r>
      <w:r w:rsidRPr="00753624">
        <w:rPr>
          <w:rFonts w:ascii="Tahoma" w:hAnsi="Tahoma" w:cs="Tahoma"/>
          <w:sz w:val="20"/>
          <w:szCs w:val="20"/>
        </w:rPr>
        <w:t>”.</w:t>
      </w:r>
    </w:p>
    <w:p w:rsidR="008078A7" w:rsidRPr="00753624" w:rsidRDefault="008078A7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Il comma 614 della legge 190/2014 estende l’applicazione, ai piani operativi in esame, dei commi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563-568-ter della legge 147/2013 in materia di mobilità del personale, gestione delle eccedenze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e di regime fiscale agevolato delle operazioni di scioglimento e alienazione.</w:t>
      </w:r>
    </w:p>
    <w:p w:rsidR="008078A7" w:rsidRPr="00753624" w:rsidRDefault="008078A7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Riassumiamo i contenuti principali di tale disciplina:</w:t>
      </w:r>
    </w:p>
    <w:p w:rsidR="008078A7" w:rsidRPr="00753624" w:rsidRDefault="008078A7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(</w:t>
      </w:r>
      <w:proofErr w:type="gramStart"/>
      <w:r w:rsidRPr="00753624">
        <w:rPr>
          <w:rFonts w:ascii="Tahoma" w:hAnsi="Tahoma" w:cs="Tahoma"/>
          <w:sz w:val="20"/>
          <w:szCs w:val="20"/>
        </w:rPr>
        <w:t>co</w:t>
      </w:r>
      <w:proofErr w:type="gramEnd"/>
      <w:r w:rsidRPr="00753624">
        <w:rPr>
          <w:rFonts w:ascii="Tahoma" w:hAnsi="Tahoma" w:cs="Tahoma"/>
          <w:sz w:val="20"/>
          <w:szCs w:val="20"/>
        </w:rPr>
        <w:t>. 563) le società controllate direttamente o indirettamente dalle PA o da loro enti strumentali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(escluse quelle che emettono strumenti finanziari quotati nei mercati regolamentati e le società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dalle stesse controllate) possono realizzare processi di mobilità del personale sulla base di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accordi tra società senza il consenso del lavoratore.</w:t>
      </w:r>
    </w:p>
    <w:p w:rsidR="008078A7" w:rsidRPr="00753624" w:rsidRDefault="008078A7" w:rsidP="0042798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La norma richiede la preventiva informazione delle rappresentanze sindacali e delle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organizzazioni sindacali firmatarie del contratto collettivo.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In ogni caso la mobilità non può mai avvenire dalle società alle pu</w:t>
      </w:r>
      <w:r w:rsidR="00427987" w:rsidRPr="00753624">
        <w:rPr>
          <w:rFonts w:ascii="Tahoma" w:hAnsi="Tahoma" w:cs="Tahoma"/>
          <w:sz w:val="20"/>
          <w:szCs w:val="20"/>
        </w:rPr>
        <w:t xml:space="preserve">bbliche amministrazioni. </w:t>
      </w:r>
      <w:r w:rsidRPr="00753624">
        <w:rPr>
          <w:rFonts w:ascii="Tahoma" w:hAnsi="Tahoma" w:cs="Tahoma"/>
          <w:sz w:val="20"/>
          <w:szCs w:val="20"/>
        </w:rPr>
        <w:t>(</w:t>
      </w:r>
      <w:proofErr w:type="gramStart"/>
      <w:r w:rsidRPr="00753624">
        <w:rPr>
          <w:rFonts w:ascii="Tahoma" w:hAnsi="Tahoma" w:cs="Tahoma"/>
          <w:sz w:val="20"/>
          <w:szCs w:val="20"/>
        </w:rPr>
        <w:t>co</w:t>
      </w:r>
      <w:proofErr w:type="gramEnd"/>
      <w:r w:rsidRPr="00753624">
        <w:rPr>
          <w:rFonts w:ascii="Tahoma" w:hAnsi="Tahoma" w:cs="Tahoma"/>
          <w:sz w:val="20"/>
          <w:szCs w:val="20"/>
        </w:rPr>
        <w:t>. 565) Nel caso di eccedenze di personale, nonché qua</w:t>
      </w:r>
      <w:r w:rsidR="00427987" w:rsidRPr="00753624">
        <w:rPr>
          <w:rFonts w:ascii="Tahoma" w:hAnsi="Tahoma" w:cs="Tahoma"/>
          <w:sz w:val="20"/>
          <w:szCs w:val="20"/>
        </w:rPr>
        <w:t xml:space="preserve">lora l'incidenza delle spese di personale </w:t>
      </w:r>
      <w:r w:rsidRPr="00753624">
        <w:rPr>
          <w:rFonts w:ascii="Tahoma" w:hAnsi="Tahoma" w:cs="Tahoma"/>
          <w:sz w:val="20"/>
          <w:szCs w:val="20"/>
        </w:rPr>
        <w:t>sia pari o superiore al 50% delle spese correnti, le società inviano un'informativa preventiva alle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rappresentanze sindacali ed alle organizzazioni sindacali firmatarie del contratto collettivo. Tale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informativa reca il numero, la collocazione aziendale e i profili</w:t>
      </w:r>
      <w:r w:rsidR="00427987" w:rsidRPr="00753624">
        <w:rPr>
          <w:rFonts w:ascii="Tahoma" w:hAnsi="Tahoma" w:cs="Tahoma"/>
          <w:sz w:val="20"/>
          <w:szCs w:val="20"/>
        </w:rPr>
        <w:t xml:space="preserve"> professionali del personale in </w:t>
      </w:r>
      <w:r w:rsidRPr="00753624">
        <w:rPr>
          <w:rFonts w:ascii="Tahoma" w:hAnsi="Tahoma" w:cs="Tahoma"/>
          <w:sz w:val="20"/>
          <w:szCs w:val="20"/>
        </w:rPr>
        <w:t>eccedenza. Tali informazioni sono comunicate anche al Dipartimento della funzione pubblica.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(</w:t>
      </w:r>
      <w:proofErr w:type="gramStart"/>
      <w:r w:rsidRPr="00753624">
        <w:rPr>
          <w:rFonts w:ascii="Tahoma" w:hAnsi="Tahoma" w:cs="Tahoma"/>
          <w:sz w:val="20"/>
          <w:szCs w:val="20"/>
        </w:rPr>
        <w:t>co</w:t>
      </w:r>
      <w:proofErr w:type="gramEnd"/>
      <w:r w:rsidRPr="00753624">
        <w:rPr>
          <w:rFonts w:ascii="Tahoma" w:hAnsi="Tahoma" w:cs="Tahoma"/>
          <w:sz w:val="20"/>
          <w:szCs w:val="20"/>
        </w:rPr>
        <w:t>. 566) Entro dieci giorni, l’ente controllante procede alla riallocazione totale o parziale del</w:t>
      </w:r>
      <w:r w:rsidR="005A502F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personale in eccedenza nell'ambito della stessa società mediante il ricorso a forme flessibili di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gestione del tempo di lavoro, ovvero presso altre società controllate dal medesimo ente o dai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suoi enti strumentali.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(</w:t>
      </w:r>
      <w:proofErr w:type="gramStart"/>
      <w:r w:rsidRPr="00753624">
        <w:rPr>
          <w:rFonts w:ascii="Tahoma" w:hAnsi="Tahoma" w:cs="Tahoma"/>
          <w:sz w:val="20"/>
          <w:szCs w:val="20"/>
        </w:rPr>
        <w:t>co</w:t>
      </w:r>
      <w:proofErr w:type="gramEnd"/>
      <w:r w:rsidRPr="00753624">
        <w:rPr>
          <w:rFonts w:ascii="Tahoma" w:hAnsi="Tahoma" w:cs="Tahoma"/>
          <w:sz w:val="20"/>
          <w:szCs w:val="20"/>
        </w:rPr>
        <w:t>. 567) Per la gestione delle eccedenze di personale, gli enti controllanti e le società possono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concludere accordi collettivi con le organizzazioni sindacali per realizzare trasferimenti in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mobilità dei dipendenti in esubero presso altre società, dello stesso tipo, anche al di fuori del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territorio della regione ove hanno sede le società interessate da eccedenze di personale.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(</w:t>
      </w:r>
      <w:proofErr w:type="gramStart"/>
      <w:r w:rsidRPr="00753624">
        <w:rPr>
          <w:rFonts w:ascii="Tahoma" w:hAnsi="Tahoma" w:cs="Tahoma"/>
          <w:sz w:val="20"/>
          <w:szCs w:val="20"/>
        </w:rPr>
        <w:t>co</w:t>
      </w:r>
      <w:proofErr w:type="gramEnd"/>
      <w:r w:rsidRPr="00753624">
        <w:rPr>
          <w:rFonts w:ascii="Tahoma" w:hAnsi="Tahoma" w:cs="Tahoma"/>
          <w:sz w:val="20"/>
          <w:szCs w:val="20"/>
        </w:rPr>
        <w:t>. 568-bis) Le amministrazioni locali e le società controllate direttamente o indirettamente</w:t>
      </w:r>
      <w:r w:rsidR="005A502F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beneficiano di vantaggi fiscali se procedono allo scioglimento o alla vendita della società (o</w:t>
      </w:r>
      <w:r w:rsidR="005A502F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dell’azienda speciale) controllata direttamente o indirettamente.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Nel caso di scioglimento, se è deliberato entro il 6 maggio 2016 (24 mesi dall’entrata in vigore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della legge 68/2014 di conversione del DL 16/2014) atti e operazioni in favore di pubbliche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amministrazioni in conseguenza dello scioglimento sono esenti da imposte. L’esenzione si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estende a imposte sui redditi e IRAP. Non si estende all'IVA, eventualmente dovuta. Le imposte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di registro, ipotecarie e catastali si applicano in misura fissa.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Se lo scioglimento riguarda una società controllata indirettamente: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53624">
        <w:rPr>
          <w:rFonts w:ascii="Tahoma" w:hAnsi="Tahoma" w:cs="Tahoma"/>
          <w:sz w:val="20"/>
          <w:szCs w:val="20"/>
        </w:rPr>
        <w:t>le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plusvalenze realizzate in capo alla controllante non concorrono alla formazione del reddito 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del valore della produzione netta;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753624">
        <w:rPr>
          <w:rFonts w:ascii="Tahoma" w:hAnsi="Tahoma" w:cs="Tahoma"/>
          <w:sz w:val="20"/>
          <w:szCs w:val="20"/>
        </w:rPr>
        <w:t>le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minusvalenze sono deducibili nell'esercizio in cui sono realizzate e nei quattro successivi.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Nel caso della cessione del capitale sociale, se l'alienazione </w:t>
      </w:r>
      <w:r w:rsidR="00427987" w:rsidRPr="00753624">
        <w:rPr>
          <w:rFonts w:ascii="Tahoma" w:hAnsi="Tahoma" w:cs="Tahoma"/>
          <w:sz w:val="20"/>
          <w:szCs w:val="20"/>
        </w:rPr>
        <w:t xml:space="preserve">delle partecipazioni avviene ad </w:t>
      </w:r>
      <w:r w:rsidRPr="00753624">
        <w:rPr>
          <w:rFonts w:ascii="Tahoma" w:hAnsi="Tahoma" w:cs="Tahoma"/>
          <w:sz w:val="20"/>
          <w:szCs w:val="20"/>
        </w:rPr>
        <w:t>evidenza pubblica deliberata entro il 6 maggio 2015 (12 mesi dall’</w:t>
      </w:r>
      <w:r w:rsidR="00427987" w:rsidRPr="00753624">
        <w:rPr>
          <w:rFonts w:ascii="Tahoma" w:hAnsi="Tahoma" w:cs="Tahoma"/>
          <w:sz w:val="20"/>
          <w:szCs w:val="20"/>
        </w:rPr>
        <w:t xml:space="preserve">entrata in vigore della legge </w:t>
      </w:r>
      <w:r w:rsidRPr="00753624">
        <w:rPr>
          <w:rFonts w:ascii="Tahoma" w:hAnsi="Tahoma" w:cs="Tahoma"/>
          <w:sz w:val="20"/>
          <w:szCs w:val="20"/>
        </w:rPr>
        <w:t>68/2014 di conversione del DL 16/2014), ai fini delle imposte sui redditi e dell’IRAP, le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plusvalenze non concorrono alla formazione del reddito e del valore della produzione netta e le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minusvalenze sono deducibili nell'esercizio in cui sono realizzate e nei quattro successivi.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L’evidenza pubblica, a doppio oggetto, riguarda sia la cessi</w:t>
      </w:r>
      <w:r w:rsidR="00427987" w:rsidRPr="00753624">
        <w:rPr>
          <w:rFonts w:ascii="Tahoma" w:hAnsi="Tahoma" w:cs="Tahoma"/>
          <w:sz w:val="20"/>
          <w:szCs w:val="20"/>
        </w:rPr>
        <w:t xml:space="preserve">one delle partecipazioni che la </w:t>
      </w:r>
      <w:r w:rsidRPr="00753624">
        <w:rPr>
          <w:rFonts w:ascii="Tahoma" w:hAnsi="Tahoma" w:cs="Tahoma"/>
          <w:sz w:val="20"/>
          <w:szCs w:val="20"/>
        </w:rPr>
        <w:t>contestuale assegnazione del servizio per cinque anni.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In caso di società mista, al socio privato detentore di una quo</w:t>
      </w:r>
      <w:r w:rsidR="00427987" w:rsidRPr="00753624">
        <w:rPr>
          <w:rFonts w:ascii="Tahoma" w:hAnsi="Tahoma" w:cs="Tahoma"/>
          <w:sz w:val="20"/>
          <w:szCs w:val="20"/>
        </w:rPr>
        <w:t xml:space="preserve">ta di almeno il 30% deve essere </w:t>
      </w:r>
      <w:r w:rsidRPr="00753624">
        <w:rPr>
          <w:rFonts w:ascii="Tahoma" w:hAnsi="Tahoma" w:cs="Tahoma"/>
          <w:sz w:val="20"/>
          <w:szCs w:val="20"/>
        </w:rPr>
        <w:t>riconosciuto il diritto di prelazione.</w:t>
      </w:r>
    </w:p>
    <w:p w:rsidR="00427987" w:rsidRPr="00753624" w:rsidRDefault="0042798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53624">
        <w:rPr>
          <w:rFonts w:ascii="Tahoma" w:hAnsi="Tahoma" w:cs="Tahoma"/>
          <w:b/>
          <w:bCs/>
          <w:sz w:val="20"/>
          <w:szCs w:val="20"/>
        </w:rPr>
        <w:t>4. Finalità istituzionali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La legge 190/2014 conserva espressamente i vincoli posti dai commi 27-29 dell’articolo 3 della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legge 244/2007, che recano il divieto generale di “</w:t>
      </w:r>
      <w:r w:rsidRPr="00753624">
        <w:rPr>
          <w:rFonts w:ascii="Tahoma" w:hAnsi="Tahoma" w:cs="Tahoma"/>
          <w:i/>
          <w:iCs/>
          <w:sz w:val="20"/>
          <w:szCs w:val="20"/>
        </w:rPr>
        <w:t>costituire società aventi per oggetto attività di</w:t>
      </w:r>
      <w:r w:rsidR="00427987" w:rsidRPr="00753624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53624">
        <w:rPr>
          <w:rFonts w:ascii="Tahoma" w:hAnsi="Tahoma" w:cs="Tahoma"/>
          <w:i/>
          <w:iCs/>
          <w:sz w:val="20"/>
          <w:szCs w:val="20"/>
        </w:rPr>
        <w:t>produzione di beni e di servizi non strettamente necessarie per il perseguimento delle proprie finalità</w:t>
      </w:r>
      <w:r w:rsidR="00427987" w:rsidRPr="00753624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53624">
        <w:rPr>
          <w:rFonts w:ascii="Tahoma" w:hAnsi="Tahoma" w:cs="Tahoma"/>
          <w:i/>
          <w:iCs/>
          <w:sz w:val="20"/>
          <w:szCs w:val="20"/>
        </w:rPr>
        <w:t>istituzionali, né assumere o mantenere direttamente partecipazioni, anche di minoranza, in tali società</w:t>
      </w:r>
      <w:r w:rsidRPr="00753624">
        <w:rPr>
          <w:rFonts w:ascii="Tahoma" w:hAnsi="Tahoma" w:cs="Tahoma"/>
          <w:sz w:val="20"/>
          <w:szCs w:val="20"/>
        </w:rPr>
        <w:t>”.</w:t>
      </w:r>
    </w:p>
    <w:p w:rsidR="008078A7" w:rsidRPr="00753624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E’ sempre ammessa la costituzione di società che producano servizi di interesse generale, che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 xml:space="preserve">forniscano servizi di committenza o di centrali di committenza a </w:t>
      </w:r>
      <w:r w:rsidR="00427987" w:rsidRPr="00753624">
        <w:rPr>
          <w:rFonts w:ascii="Tahoma" w:hAnsi="Tahoma" w:cs="Tahoma"/>
          <w:sz w:val="20"/>
          <w:szCs w:val="20"/>
        </w:rPr>
        <w:t xml:space="preserve">livello regionale a supporto di </w:t>
      </w:r>
      <w:r w:rsidRPr="00753624">
        <w:rPr>
          <w:rFonts w:ascii="Tahoma" w:hAnsi="Tahoma" w:cs="Tahoma"/>
          <w:sz w:val="20"/>
          <w:szCs w:val="20"/>
        </w:rPr>
        <w:t>enti senza scopo di lucro e di amministrazioni aggiudicatrici.</w:t>
      </w:r>
    </w:p>
    <w:p w:rsidR="008078A7" w:rsidRDefault="008078A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L’acquisto di nuove partecipazioni e, una tantum, il mantenimento di quelle in essere, devono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sempre essere autorizzate dall’organo consiliare con deliberazione motivata da trasmettere alla</w:t>
      </w:r>
      <w:r w:rsidR="00427987" w:rsidRPr="00753624">
        <w:rPr>
          <w:rFonts w:ascii="Tahoma" w:hAnsi="Tahoma" w:cs="Tahoma"/>
          <w:sz w:val="20"/>
          <w:szCs w:val="20"/>
        </w:rPr>
        <w:t xml:space="preserve"> </w:t>
      </w:r>
      <w:r w:rsidRPr="00753624">
        <w:rPr>
          <w:rFonts w:ascii="Tahoma" w:hAnsi="Tahoma" w:cs="Tahoma"/>
          <w:sz w:val="20"/>
          <w:szCs w:val="20"/>
        </w:rPr>
        <w:t>sezione regionale di controllo della Corte dei conti.</w:t>
      </w:r>
    </w:p>
    <w:p w:rsidR="004266CD" w:rsidRPr="00753624" w:rsidRDefault="004266CD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27987" w:rsidRPr="00753624" w:rsidRDefault="00427987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8078A7" w:rsidRPr="00753624" w:rsidRDefault="003C1386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53624">
        <w:rPr>
          <w:rFonts w:ascii="Tahoma" w:hAnsi="Tahoma" w:cs="Tahoma"/>
          <w:b/>
          <w:bCs/>
          <w:sz w:val="20"/>
          <w:szCs w:val="20"/>
        </w:rPr>
        <w:lastRenderedPageBreak/>
        <w:t xml:space="preserve">5. </w:t>
      </w:r>
      <w:r w:rsidR="008078A7" w:rsidRPr="00753624">
        <w:rPr>
          <w:rFonts w:ascii="Tahoma" w:hAnsi="Tahoma" w:cs="Tahoma"/>
          <w:b/>
          <w:bCs/>
          <w:sz w:val="20"/>
          <w:szCs w:val="20"/>
        </w:rPr>
        <w:t>Le partecipazioni dell’ente</w:t>
      </w:r>
    </w:p>
    <w:p w:rsidR="008078A7" w:rsidRPr="00753624" w:rsidRDefault="00870312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L’Ente</w:t>
      </w:r>
      <w:r w:rsidR="008078A7" w:rsidRPr="00753624">
        <w:rPr>
          <w:rFonts w:ascii="Tahoma" w:hAnsi="Tahoma" w:cs="Tahoma"/>
          <w:sz w:val="20"/>
          <w:szCs w:val="20"/>
        </w:rPr>
        <w:t xml:space="preserve"> partecipa al capitale delle seguenti società:</w:t>
      </w:r>
    </w:p>
    <w:p w:rsidR="00870312" w:rsidRPr="00753624" w:rsidRDefault="00870312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870312" w:rsidRPr="00753624" w:rsidRDefault="00870312" w:rsidP="005A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b/>
          <w:sz w:val="20"/>
          <w:szCs w:val="20"/>
          <w:lang w:eastAsia="it-IT"/>
        </w:rPr>
        <w:t>ACTS S.p.a.</w:t>
      </w:r>
    </w:p>
    <w:p w:rsidR="00870312" w:rsidRPr="00753624" w:rsidRDefault="00870312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Via Valletta S. Cristoforo 3R 17100 - SAVONA</w:t>
      </w:r>
    </w:p>
    <w:p w:rsidR="00870312" w:rsidRPr="00753624" w:rsidRDefault="00870312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Forma giuridica: Società per Azioni</w:t>
      </w:r>
    </w:p>
    <w:p w:rsidR="00870312" w:rsidRPr="00753624" w:rsidRDefault="00870312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Oggetto sociale: Assunzione e svolgimento di servizi di trasporto di qualunque genere e specie</w:t>
      </w:r>
    </w:p>
    <w:p w:rsidR="00870312" w:rsidRPr="00753624" w:rsidRDefault="00870312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Capitale sociale: € 4.276.802,88</w:t>
      </w:r>
      <w:r w:rsidR="00D65418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 interamente pubblico</w:t>
      </w:r>
    </w:p>
    <w:p w:rsidR="00870312" w:rsidRPr="00753624" w:rsidRDefault="00870312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% del </w:t>
      </w:r>
      <w:proofErr w:type="gramStart"/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Comune: </w:t>
      </w:r>
      <w:r w:rsidR="00B35E15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</w:t>
      </w:r>
      <w:proofErr w:type="gramEnd"/>
      <w:r w:rsidR="00B35E15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 </w:t>
      </w:r>
      <w:r w:rsidR="00D65418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            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0,</w:t>
      </w:r>
      <w:r w:rsidR="00D65418" w:rsidRPr="00753624">
        <w:rPr>
          <w:rFonts w:ascii="Tahoma" w:eastAsia="Times New Roman" w:hAnsi="Tahoma" w:cs="Tahoma"/>
          <w:sz w:val="20"/>
          <w:szCs w:val="20"/>
          <w:lang w:eastAsia="it-IT"/>
        </w:rPr>
        <w:t>257</w:t>
      </w:r>
    </w:p>
    <w:p w:rsidR="00870312" w:rsidRPr="00753624" w:rsidRDefault="00870312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Rappresentanti del comune: Nessuno</w:t>
      </w:r>
    </w:p>
    <w:p w:rsidR="00870312" w:rsidRPr="00753624" w:rsidRDefault="00D71166" w:rsidP="0087031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  <w:t>Partecipate di ACTS S.p.A.</w:t>
      </w:r>
    </w:p>
    <w:p w:rsidR="00D71166" w:rsidRPr="00753624" w:rsidRDefault="00334F65" w:rsidP="00334F6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>TPL Linea S.r.l.</w:t>
      </w:r>
    </w:p>
    <w:p w:rsidR="00D71166" w:rsidRPr="00753624" w:rsidRDefault="00334F65" w:rsidP="00334F6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>Via Valletta S. Cristoforo 3R 17100 - SAVONA</w:t>
      </w:r>
    </w:p>
    <w:p w:rsidR="00D71166" w:rsidRPr="00753624" w:rsidRDefault="00334F65" w:rsidP="00334F6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>Forma giuridica: S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ocietà a responsabilità</w:t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limitata</w:t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- Società </w:t>
      </w:r>
      <w:proofErr w:type="gramStart"/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>di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</w:t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>capitale</w:t>
      </w:r>
      <w:proofErr w:type="gramEnd"/>
    </w:p>
    <w:p w:rsidR="00006B2F" w:rsidRPr="00753624" w:rsidRDefault="00334F65" w:rsidP="00D71166">
      <w:pPr>
        <w:spacing w:after="0" w:line="240" w:lineRule="auto"/>
        <w:ind w:left="141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Oggetto sociale: Assunzione e svolgimento di servizi di trasporto di 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:rsidR="00D71166" w:rsidRPr="00753624" w:rsidRDefault="00006B2F" w:rsidP="00006B2F">
      <w:pPr>
        <w:spacing w:after="0" w:line="240" w:lineRule="auto"/>
        <w:ind w:left="2834" w:firstLine="706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  </w:t>
      </w:r>
      <w:proofErr w:type="gramStart"/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>qualunque</w:t>
      </w:r>
      <w:proofErr w:type="gramEnd"/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genere e specie</w:t>
      </w:r>
    </w:p>
    <w:p w:rsidR="00D71166" w:rsidRPr="00753624" w:rsidRDefault="00334F65" w:rsidP="00D71166">
      <w:pPr>
        <w:spacing w:after="0" w:line="240" w:lineRule="auto"/>
        <w:ind w:left="141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71166" w:rsidRPr="00753624">
        <w:rPr>
          <w:rFonts w:ascii="Tahoma" w:eastAsia="Times New Roman" w:hAnsi="Tahoma" w:cs="Tahoma"/>
          <w:sz w:val="20"/>
          <w:szCs w:val="20"/>
          <w:lang w:eastAsia="it-IT"/>
        </w:rPr>
        <w:t>Capitale sociale: € 5.000.000</w:t>
      </w:r>
      <w:r w:rsidR="00D65418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interamente pubblico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ACTS S.p.A. è lo strumento operativo dei comuni associati per assicurare l’esercizio sovracomunale del trasporto pubblico locale.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E’ intenzione dell’amministrazione mantenere la partecipazione, seppur minoritaria, nella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Società.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Si </w:t>
      </w:r>
      <w:proofErr w:type="spellStart"/>
      <w:r w:rsidRPr="00753624">
        <w:rPr>
          <w:rFonts w:ascii="Tahoma" w:hAnsi="Tahoma" w:cs="Tahoma"/>
          <w:sz w:val="20"/>
          <w:szCs w:val="20"/>
        </w:rPr>
        <w:t>da</w:t>
      </w:r>
      <w:proofErr w:type="spellEnd"/>
      <w:r w:rsidRPr="00753624">
        <w:rPr>
          <w:rFonts w:ascii="Tahoma" w:hAnsi="Tahoma" w:cs="Tahoma"/>
          <w:sz w:val="20"/>
          <w:szCs w:val="20"/>
        </w:rPr>
        <w:t xml:space="preserve"> atto che non ricorrono le fattispecie di cui al comma 611 della legge n. 190 /2014 indicante i criteri generali cui si deve ispirare il “</w:t>
      </w:r>
      <w:r w:rsidRPr="00753624">
        <w:rPr>
          <w:rFonts w:ascii="Tahoma" w:hAnsi="Tahoma" w:cs="Tahoma"/>
          <w:i/>
          <w:iCs/>
          <w:sz w:val="20"/>
          <w:szCs w:val="20"/>
        </w:rPr>
        <w:t>processo di razionalizzazione</w:t>
      </w:r>
      <w:r w:rsidRPr="00753624">
        <w:rPr>
          <w:rFonts w:ascii="Tahoma" w:hAnsi="Tahoma" w:cs="Tahoma"/>
          <w:sz w:val="20"/>
          <w:szCs w:val="20"/>
        </w:rPr>
        <w:t>” lettere dalla a) alla d):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a) eliminare le società e le partecipazioni non indispensabili al perseguimento delle finalità istituzionali, anche mediante liquidazioni o cessioni;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b) sopprimere le società che risultino composte da soli amministratori o da un numero di amministratori superiore a quello dei dipendenti;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c) eliminare le partecipazioni in società che svolgono attività analoghe o similari a quelle svolte da altre società partecipate o da enti pubblici strumentali, anche mediante operazioni di fusione o di internalizzazione delle funzioni;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d) aggregare società di servizi pubblici locali di rilevanza economica;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e) contenere i costi di funzionamento, anche mediante la riorganizzazione degli organi amministrativi e di controllo e delle strutture aziendali, ovvero riducendo le relative remunerazioni.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In relazione alla lettera e), sarà proposto nella competente sede assembleare di adottare misure utili al contenimento dei costi di funzionamento.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6B2F" w:rsidRPr="00753624" w:rsidRDefault="00006B2F" w:rsidP="005A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753624">
        <w:rPr>
          <w:rFonts w:ascii="Tahoma" w:hAnsi="Tahoma" w:cs="Tahoma"/>
          <w:b/>
          <w:sz w:val="20"/>
          <w:szCs w:val="20"/>
        </w:rPr>
        <w:t xml:space="preserve">IPS. - Insediamenti Produttivi Savonesi </w:t>
      </w:r>
      <w:proofErr w:type="spellStart"/>
      <w:r w:rsidRPr="00753624">
        <w:rPr>
          <w:rFonts w:ascii="Tahoma" w:hAnsi="Tahoma" w:cs="Tahoma"/>
          <w:b/>
          <w:sz w:val="20"/>
          <w:szCs w:val="20"/>
        </w:rPr>
        <w:t>S.C.p.A</w:t>
      </w:r>
      <w:proofErr w:type="spellEnd"/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Via </w:t>
      </w:r>
      <w:proofErr w:type="spellStart"/>
      <w:r w:rsidRPr="00753624">
        <w:rPr>
          <w:rFonts w:ascii="Tahoma" w:hAnsi="Tahoma" w:cs="Tahoma"/>
          <w:sz w:val="20"/>
          <w:szCs w:val="20"/>
        </w:rPr>
        <w:t>Magliotto</w:t>
      </w:r>
      <w:proofErr w:type="spellEnd"/>
      <w:r w:rsidRPr="00753624">
        <w:rPr>
          <w:rFonts w:ascii="Tahoma" w:hAnsi="Tahoma" w:cs="Tahoma"/>
          <w:sz w:val="20"/>
          <w:szCs w:val="20"/>
        </w:rPr>
        <w:t>- Campus Universitario - Palazzina Locatelli 17100 - SAVONA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Forma giuridica: Società Consortile per Azioni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Oggetto sociale: Società priva di fini di lucro con lo scopo dello sviluppo socio-economico Capitale sociale: € 486.486,00 interamente pubblico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% del </w:t>
      </w:r>
      <w:proofErr w:type="gramStart"/>
      <w:r w:rsidRPr="00753624">
        <w:rPr>
          <w:rFonts w:ascii="Tahoma" w:hAnsi="Tahoma" w:cs="Tahoma"/>
          <w:sz w:val="20"/>
          <w:szCs w:val="20"/>
        </w:rPr>
        <w:t xml:space="preserve">Comune:   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             1,17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Rappresentanti del comune: Nessuno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IPS. </w:t>
      </w:r>
      <w:proofErr w:type="gramStart"/>
      <w:r w:rsidRPr="00753624">
        <w:rPr>
          <w:rFonts w:ascii="Tahoma" w:hAnsi="Tahoma" w:cs="Tahoma"/>
          <w:sz w:val="20"/>
          <w:szCs w:val="20"/>
        </w:rPr>
        <w:t>è</w:t>
      </w:r>
      <w:proofErr w:type="gramEnd"/>
      <w:r w:rsidRPr="00753624">
        <w:rPr>
          <w:rFonts w:ascii="Tahoma" w:hAnsi="Tahoma" w:cs="Tahoma"/>
          <w:sz w:val="20"/>
          <w:szCs w:val="20"/>
        </w:rPr>
        <w:t xml:space="preserve"> lo strumento operativo dei comuni associati per assicurare la crescita economica del territorio e di incentivare le attività imprenditoriali, intervenendo nei settori dell’industria, dell’artigianato produttivo e di servizio alla produzione, delle infrastrutture commerciali e turistiche.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E’ intenzione dell’amministrazione mantenere la partecipazione, seppur minoritaria, nella Società.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Si </w:t>
      </w:r>
      <w:proofErr w:type="spellStart"/>
      <w:r w:rsidRPr="00753624">
        <w:rPr>
          <w:rFonts w:ascii="Tahoma" w:hAnsi="Tahoma" w:cs="Tahoma"/>
          <w:sz w:val="20"/>
          <w:szCs w:val="20"/>
        </w:rPr>
        <w:t>da</w:t>
      </w:r>
      <w:proofErr w:type="spellEnd"/>
      <w:r w:rsidRPr="00753624">
        <w:rPr>
          <w:rFonts w:ascii="Tahoma" w:hAnsi="Tahoma" w:cs="Tahoma"/>
          <w:sz w:val="20"/>
          <w:szCs w:val="20"/>
        </w:rPr>
        <w:t xml:space="preserve"> atto che non ricorrono le fattispecie di cui al comma 611 della legge n. 190 /2014 indicante i criteri generali cui si deve ispirare il “</w:t>
      </w:r>
      <w:r w:rsidRPr="00753624">
        <w:rPr>
          <w:rFonts w:ascii="Tahoma" w:hAnsi="Tahoma" w:cs="Tahoma"/>
          <w:i/>
          <w:iCs/>
          <w:sz w:val="20"/>
          <w:szCs w:val="20"/>
        </w:rPr>
        <w:t>processo di razionalizzazione</w:t>
      </w:r>
      <w:r w:rsidRPr="00753624">
        <w:rPr>
          <w:rFonts w:ascii="Tahoma" w:hAnsi="Tahoma" w:cs="Tahoma"/>
          <w:sz w:val="20"/>
          <w:szCs w:val="20"/>
        </w:rPr>
        <w:t>” lettere dalla a) alla d):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a) eliminare le società e le partecipazioni non indispensabili al perseguimento delle finalità istituzionali, anche mediante liquidazioni o cessioni;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b) sopprimere le società che risultino composte da soli amministratori o da un numero di amministratori superiore a quello dei dipendenti;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c) eliminare le partecipazioni in società che svolgono attività analoghe o similari a quelle svolte da altre società partecipate o da enti pubblici strumentali, anche mediante operazioni di fusione o di internalizzazione delle funzioni;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d) aggregare società di servizi pubblici locali di rilevanza economica;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lastRenderedPageBreak/>
        <w:t>e) contenere i costi di funzionamento, anche mediante la riorganizzazione degli organi amministrativi e di controllo e delle strutture aziendali, ovvero riducendo le relative remunerazioni.</w:t>
      </w:r>
    </w:p>
    <w:p w:rsidR="00006B2F" w:rsidRPr="00753624" w:rsidRDefault="00006B2F" w:rsidP="00006B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In relazione alla lettera e), sarà proposto nella competente sede assembleare di adottare misure utili al contenimento dei costi di funzionamento.</w:t>
      </w:r>
    </w:p>
    <w:p w:rsidR="005C0F65" w:rsidRPr="00753624" w:rsidRDefault="005C0F65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B35E15" w:rsidRPr="00753624" w:rsidRDefault="00B35E15" w:rsidP="005A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SAT (servizi ambientali territoriali </w:t>
      </w:r>
      <w:proofErr w:type="spellStart"/>
      <w:r w:rsidRPr="00753624">
        <w:rPr>
          <w:rFonts w:ascii="Tahoma" w:eastAsia="Times New Roman" w:hAnsi="Tahoma" w:cs="Tahoma"/>
          <w:b/>
          <w:sz w:val="20"/>
          <w:szCs w:val="20"/>
          <w:lang w:eastAsia="it-IT"/>
        </w:rPr>
        <w:t>s.p.a.</w:t>
      </w:r>
      <w:proofErr w:type="spellEnd"/>
      <w:r w:rsidRPr="00753624">
        <w:rPr>
          <w:rFonts w:ascii="Tahoma" w:eastAsia="Times New Roman" w:hAnsi="Tahoma" w:cs="Tahoma"/>
          <w:b/>
          <w:sz w:val="20"/>
          <w:szCs w:val="20"/>
          <w:lang w:eastAsia="it-IT"/>
        </w:rPr>
        <w:t>)</w:t>
      </w:r>
    </w:p>
    <w:p w:rsidR="00B35E15" w:rsidRPr="00753624" w:rsidRDefault="00B35E1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Via Sardegna n. 2 17047 - VADO LIGURE</w:t>
      </w:r>
    </w:p>
    <w:p w:rsidR="00B35E15" w:rsidRPr="00753624" w:rsidRDefault="00B35E1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Forma giuridica: Società per Azioni</w:t>
      </w:r>
    </w:p>
    <w:p w:rsidR="00B35E15" w:rsidRPr="00753624" w:rsidRDefault="00B35E1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Oggetto sociale: Servizio pubblico di raccolta rifiuti solidi e urbani e differenziata</w:t>
      </w:r>
    </w:p>
    <w:p w:rsidR="00B35E15" w:rsidRPr="00753624" w:rsidRDefault="00B35E1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Capitale sociale: € 612.616,04</w:t>
      </w:r>
    </w:p>
    <w:p w:rsidR="00B35E15" w:rsidRPr="00753624" w:rsidRDefault="00B35E1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% del </w:t>
      </w:r>
      <w:proofErr w:type="gramStart"/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Comune:   </w:t>
      </w:r>
      <w:proofErr w:type="gramEnd"/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 0,35</w:t>
      </w:r>
    </w:p>
    <w:p w:rsidR="00B35E15" w:rsidRPr="00753624" w:rsidRDefault="00B35E1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Rappresentanti del comune: Sindaco</w:t>
      </w:r>
    </w:p>
    <w:p w:rsidR="005C0F65" w:rsidRPr="00753624" w:rsidRDefault="005C0F6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  <w:t>Partecipate di SAT</w:t>
      </w:r>
    </w:p>
    <w:p w:rsidR="005C0F65" w:rsidRPr="00753624" w:rsidRDefault="005C0F65" w:rsidP="008C530E">
      <w:pPr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ECOLOGIC@ S.R.L.</w:t>
      </w:r>
    </w:p>
    <w:p w:rsidR="005C0F65" w:rsidRPr="00753624" w:rsidRDefault="005C0F65" w:rsidP="008C530E">
      <w:pPr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Via Caravaggio, 13</w:t>
      </w:r>
      <w:r w:rsidR="00D368B9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17100</w:t>
      </w:r>
      <w:r w:rsidR="00D368B9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SAVONA </w:t>
      </w:r>
    </w:p>
    <w:p w:rsidR="00D368B9" w:rsidRPr="00753624" w:rsidRDefault="00D368B9" w:rsidP="008C530E">
      <w:pPr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Forma giuridica: Società a responsabilità limitata – Società di capitali</w:t>
      </w:r>
    </w:p>
    <w:p w:rsidR="008C530E" w:rsidRPr="00753624" w:rsidRDefault="00D368B9" w:rsidP="008C530E">
      <w:pPr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Oggetto sociale: Attività di raccolta, trattamento e smaltimento dei rifiuti; recupero </w:t>
      </w:r>
    </w:p>
    <w:p w:rsidR="00D368B9" w:rsidRPr="00753624" w:rsidRDefault="008C530E" w:rsidP="008C530E">
      <w:pPr>
        <w:spacing w:after="0" w:line="240" w:lineRule="auto"/>
        <w:ind w:left="2124"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  </w:t>
      </w:r>
      <w:proofErr w:type="gramStart"/>
      <w:r w:rsidR="00D368B9" w:rsidRPr="00753624">
        <w:rPr>
          <w:rFonts w:ascii="Tahoma" w:eastAsia="Times New Roman" w:hAnsi="Tahoma" w:cs="Tahoma"/>
          <w:sz w:val="20"/>
          <w:szCs w:val="20"/>
          <w:lang w:eastAsia="it-IT"/>
        </w:rPr>
        <w:t>dei</w:t>
      </w:r>
      <w:proofErr w:type="gramEnd"/>
      <w:r w:rsidR="00D368B9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materiali</w:t>
      </w:r>
    </w:p>
    <w:p w:rsidR="00D368B9" w:rsidRPr="00753624" w:rsidRDefault="00D368B9" w:rsidP="008C530E">
      <w:pPr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Capitale sociale: € </w:t>
      </w:r>
      <w:r w:rsidR="008C530E" w:rsidRPr="00753624">
        <w:rPr>
          <w:rFonts w:ascii="Tahoma" w:eastAsia="Times New Roman" w:hAnsi="Tahoma" w:cs="Tahoma"/>
          <w:sz w:val="20"/>
          <w:szCs w:val="20"/>
          <w:lang w:eastAsia="it-IT"/>
        </w:rPr>
        <w:t>300.000,00</w:t>
      </w:r>
    </w:p>
    <w:p w:rsidR="00D368B9" w:rsidRPr="00753624" w:rsidRDefault="00D368B9" w:rsidP="008C530E">
      <w:pPr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% </w:t>
      </w:r>
      <w:r w:rsidR="008C530E"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di </w:t>
      </w:r>
      <w:proofErr w:type="gramStart"/>
      <w:r w:rsidR="008C530E" w:rsidRPr="00753624">
        <w:rPr>
          <w:rFonts w:ascii="Tahoma" w:eastAsia="Times New Roman" w:hAnsi="Tahoma" w:cs="Tahoma"/>
          <w:sz w:val="20"/>
          <w:szCs w:val="20"/>
          <w:lang w:eastAsia="it-IT"/>
        </w:rPr>
        <w:t>SAT</w:t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:</w:t>
      </w:r>
      <w:r w:rsidR="008C530E"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proofErr w:type="gramEnd"/>
      <w:r w:rsidR="008C530E"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     </w:t>
      </w:r>
      <w:r w:rsidR="008C530E" w:rsidRPr="00753624">
        <w:rPr>
          <w:rFonts w:ascii="Tahoma" w:eastAsia="Times New Roman" w:hAnsi="Tahoma" w:cs="Tahoma"/>
          <w:sz w:val="20"/>
          <w:szCs w:val="20"/>
          <w:lang w:eastAsia="it-IT"/>
        </w:rPr>
        <w:t>44,00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SAT S.p.A. è lo strumento operativo dei comuni associati per assicurare i servizi ambientali quali la raccolta dei rifiuti urbani il servizio di spazzamento delle vie e piazze pubbliche.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E’ intenzione dell’amministrazione mantenere la partecipazione, seppur minoritaria, nella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Società.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Si </w:t>
      </w:r>
      <w:proofErr w:type="spellStart"/>
      <w:r w:rsidRPr="00753624">
        <w:rPr>
          <w:rFonts w:ascii="Tahoma" w:hAnsi="Tahoma" w:cs="Tahoma"/>
          <w:sz w:val="20"/>
          <w:szCs w:val="20"/>
        </w:rPr>
        <w:t>da</w:t>
      </w:r>
      <w:proofErr w:type="spellEnd"/>
      <w:r w:rsidRPr="00753624">
        <w:rPr>
          <w:rFonts w:ascii="Tahoma" w:hAnsi="Tahoma" w:cs="Tahoma"/>
          <w:sz w:val="20"/>
          <w:szCs w:val="20"/>
        </w:rPr>
        <w:t xml:space="preserve"> atto che non ricorrono le fattispecie di cui al comma 611 della legge n. 190 /2014 indicante i criteri generali cui si deve ispirare il “</w:t>
      </w:r>
      <w:r w:rsidRPr="00753624">
        <w:rPr>
          <w:rFonts w:ascii="Tahoma" w:hAnsi="Tahoma" w:cs="Tahoma"/>
          <w:i/>
          <w:iCs/>
          <w:sz w:val="20"/>
          <w:szCs w:val="20"/>
        </w:rPr>
        <w:t>processo di razionalizzazione</w:t>
      </w:r>
      <w:r w:rsidRPr="00753624">
        <w:rPr>
          <w:rFonts w:ascii="Tahoma" w:hAnsi="Tahoma" w:cs="Tahoma"/>
          <w:sz w:val="20"/>
          <w:szCs w:val="20"/>
        </w:rPr>
        <w:t>” lettere dalla a) alla d):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a) eliminare le società e le partecipazioni non indispensabili al perseguimento delle finalità istituzionali, anche mediante liquidazioni o cessioni;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b) sopprimere le società che risultino composte da soli amministratori o da un numero di amministratori superiore a quello dei dipendenti;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c) eliminare le partecipazioni in società che svolgono attività analoghe o similari a quelle svolte da altre società partecipate o da enti pubblici strumentali, anche mediante operazioni di fusione o di internalizzazione delle funzioni;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d) aggregare società di servizi pubblici locali di rilevanza economica;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e) contenere i costi di funzionamento, anche mediante la riorganizzazione degli organi amministrativi e di controllo e delle strutture aziendali, ovvero riducendo le relative remunerazioni.</w:t>
      </w:r>
    </w:p>
    <w:p w:rsidR="008C530E" w:rsidRPr="00753624" w:rsidRDefault="008C530E" w:rsidP="008C53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In relazione alla lettera e), sarà proposto nella competente sede assembleare di adottare misure utili al contenimento dei costi di funzionamento.</w:t>
      </w:r>
    </w:p>
    <w:p w:rsidR="00B35E15" w:rsidRPr="00753624" w:rsidRDefault="00B35E15" w:rsidP="00B35E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8078A7" w:rsidRPr="00753624" w:rsidRDefault="00753624" w:rsidP="008078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53624">
        <w:rPr>
          <w:rFonts w:ascii="Tahoma" w:hAnsi="Tahoma" w:cs="Tahoma"/>
          <w:b/>
          <w:bCs/>
          <w:sz w:val="20"/>
          <w:szCs w:val="20"/>
        </w:rPr>
        <w:t>6</w:t>
      </w:r>
      <w:r w:rsidR="008078A7" w:rsidRPr="00753624">
        <w:rPr>
          <w:rFonts w:ascii="Tahoma" w:hAnsi="Tahoma" w:cs="Tahoma"/>
          <w:b/>
          <w:bCs/>
          <w:sz w:val="20"/>
          <w:szCs w:val="20"/>
        </w:rPr>
        <w:t>. Altre partecipazioni e associazionismo</w:t>
      </w:r>
    </w:p>
    <w:p w:rsidR="009A2AA3" w:rsidRPr="00753624" w:rsidRDefault="008078A7" w:rsidP="009A2A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 xml:space="preserve">Per completezza, si precisa che </w:t>
      </w:r>
      <w:r w:rsidR="009A2AA3" w:rsidRPr="00753624">
        <w:rPr>
          <w:rFonts w:ascii="Tahoma" w:hAnsi="Tahoma" w:cs="Tahoma"/>
          <w:sz w:val="20"/>
          <w:szCs w:val="20"/>
        </w:rPr>
        <w:t>l’Ente partecipa al:</w:t>
      </w:r>
    </w:p>
    <w:p w:rsidR="009A2AA3" w:rsidRPr="00753624" w:rsidRDefault="009A2AA3" w:rsidP="009A2AA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CONSORZIO OBBLIGATORIO PER IL BACINO IMBRIFERO MONTANO DEL FIUME BORMIDA</w:t>
      </w: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Piazza Italia n. 70 17017 - Millesimo</w:t>
      </w: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Forma giuridica: Consorzio</w:t>
      </w: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Oggetto sociale: Amministrazione e impiego del fondo comune mediante beneficio dei comuni del</w:t>
      </w: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753624">
        <w:rPr>
          <w:rFonts w:ascii="Tahoma" w:eastAsia="Times New Roman" w:hAnsi="Tahoma" w:cs="Tahoma"/>
          <w:sz w:val="20"/>
          <w:szCs w:val="20"/>
          <w:lang w:eastAsia="it-IT"/>
        </w:rPr>
        <w:tab/>
        <w:t xml:space="preserve">    </w:t>
      </w:r>
      <w:proofErr w:type="gramStart"/>
      <w:r w:rsidRPr="00753624">
        <w:rPr>
          <w:rFonts w:ascii="Tahoma" w:eastAsia="Times New Roman" w:hAnsi="Tahoma" w:cs="Tahoma"/>
          <w:sz w:val="20"/>
          <w:szCs w:val="20"/>
          <w:lang w:eastAsia="it-IT"/>
        </w:rPr>
        <w:t>consorzio</w:t>
      </w:r>
      <w:proofErr w:type="gramEnd"/>
      <w:r w:rsidRPr="00753624">
        <w:rPr>
          <w:rFonts w:ascii="Tahoma" w:eastAsia="Times New Roman" w:hAnsi="Tahoma" w:cs="Tahoma"/>
          <w:sz w:val="20"/>
          <w:szCs w:val="20"/>
          <w:lang w:eastAsia="it-IT"/>
        </w:rPr>
        <w:t>. Erogazione contributi.</w:t>
      </w: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Capitale sociale: Nessuno</w:t>
      </w: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% del </w:t>
      </w:r>
      <w:proofErr w:type="gramStart"/>
      <w:r w:rsidRPr="00753624">
        <w:rPr>
          <w:rFonts w:ascii="Tahoma" w:eastAsia="Times New Roman" w:hAnsi="Tahoma" w:cs="Tahoma"/>
          <w:sz w:val="20"/>
          <w:szCs w:val="20"/>
          <w:lang w:eastAsia="it-IT"/>
        </w:rPr>
        <w:t xml:space="preserve">Comune:   </w:t>
      </w:r>
      <w:proofErr w:type="gramEnd"/>
      <w:r w:rsidRPr="00753624">
        <w:rPr>
          <w:rFonts w:ascii="Tahoma" w:eastAsia="Times New Roman" w:hAnsi="Tahoma" w:cs="Tahoma"/>
          <w:sz w:val="20"/>
          <w:szCs w:val="20"/>
          <w:lang w:eastAsia="it-IT"/>
        </w:rPr>
        <w:t>Nessuna</w:t>
      </w:r>
    </w:p>
    <w:p w:rsidR="009A2AA3" w:rsidRPr="00753624" w:rsidRDefault="009A2AA3" w:rsidP="009A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753624">
        <w:rPr>
          <w:rFonts w:ascii="Tahoma" w:eastAsia="Times New Roman" w:hAnsi="Tahoma" w:cs="Tahoma"/>
          <w:sz w:val="20"/>
          <w:szCs w:val="20"/>
          <w:lang w:eastAsia="it-IT"/>
        </w:rPr>
        <w:t>Rappresentanti del comune: BACCINO Ilario</w:t>
      </w:r>
    </w:p>
    <w:p w:rsidR="00753624" w:rsidRDefault="00753624" w:rsidP="007536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3624">
        <w:rPr>
          <w:rFonts w:ascii="Tahoma" w:hAnsi="Tahoma" w:cs="Tahoma"/>
          <w:sz w:val="20"/>
          <w:szCs w:val="20"/>
        </w:rPr>
        <w:t>La partecipazione a Consorzi o altre “</w:t>
      </w:r>
      <w:r w:rsidRPr="00753624">
        <w:rPr>
          <w:rFonts w:ascii="Tahoma" w:hAnsi="Tahoma" w:cs="Tahoma"/>
          <w:i/>
          <w:iCs/>
          <w:sz w:val="20"/>
          <w:szCs w:val="20"/>
        </w:rPr>
        <w:t>forme associative</w:t>
      </w:r>
      <w:r w:rsidRPr="00753624">
        <w:rPr>
          <w:rFonts w:ascii="Tahoma" w:hAnsi="Tahoma" w:cs="Tahoma"/>
          <w:sz w:val="20"/>
          <w:szCs w:val="20"/>
        </w:rPr>
        <w:t>”, di cui al Capo V del Titolo II del d.lgs. 267/2000 (TUEL), non sono oggetto del presente Piano.</w:t>
      </w:r>
    </w:p>
    <w:p w:rsidR="00621546" w:rsidRDefault="00621546" w:rsidP="007536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21546" w:rsidRDefault="00621546" w:rsidP="007536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21546" w:rsidRDefault="00621546" w:rsidP="007536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Millesimo, 24 marzo 2015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IL SINDACO</w:t>
      </w:r>
    </w:p>
    <w:p w:rsidR="00621546" w:rsidRPr="00753624" w:rsidRDefault="00621546" w:rsidP="007536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Pietro PIZZORNO</w:t>
      </w:r>
    </w:p>
    <w:p w:rsidR="008078A7" w:rsidRPr="00753624" w:rsidRDefault="008078A7" w:rsidP="007536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8078A7" w:rsidRPr="00753624" w:rsidSect="00B12945">
      <w:pgSz w:w="11906" w:h="16838" w:code="9"/>
      <w:pgMar w:top="1418" w:right="1134" w:bottom="1134" w:left="1134" w:header="1418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82ECD"/>
    <w:multiLevelType w:val="multilevel"/>
    <w:tmpl w:val="3542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A7"/>
    <w:rsid w:val="00006B2F"/>
    <w:rsid w:val="00334F65"/>
    <w:rsid w:val="00383F4D"/>
    <w:rsid w:val="003C1386"/>
    <w:rsid w:val="004266CD"/>
    <w:rsid w:val="0042759F"/>
    <w:rsid w:val="00427987"/>
    <w:rsid w:val="00477E2B"/>
    <w:rsid w:val="005A502F"/>
    <w:rsid w:val="005C0F65"/>
    <w:rsid w:val="00621546"/>
    <w:rsid w:val="00753624"/>
    <w:rsid w:val="008078A7"/>
    <w:rsid w:val="00870312"/>
    <w:rsid w:val="008C530E"/>
    <w:rsid w:val="009A2AA3"/>
    <w:rsid w:val="00AA2174"/>
    <w:rsid w:val="00B12945"/>
    <w:rsid w:val="00B35E15"/>
    <w:rsid w:val="00D368B9"/>
    <w:rsid w:val="00D65418"/>
    <w:rsid w:val="00D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6414F-831D-4F06-A817-D0498519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078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078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D71166"/>
    <w:rPr>
      <w:b/>
      <w:bCs/>
    </w:rPr>
  </w:style>
  <w:style w:type="paragraph" w:customStyle="1" w:styleId="justifycenter">
    <w:name w:val="justifycenter"/>
    <w:basedOn w:val="Normale"/>
    <w:rsid w:val="005C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34639-4598-44BF-AA44-DD94D96B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Pucciano</dc:creator>
  <cp:keywords/>
  <dc:description/>
  <cp:lastModifiedBy>Giovanni Pucciano</cp:lastModifiedBy>
  <cp:revision>2</cp:revision>
  <dcterms:created xsi:type="dcterms:W3CDTF">2015-03-27T15:20:00Z</dcterms:created>
  <dcterms:modified xsi:type="dcterms:W3CDTF">2015-03-27T15:20:00Z</dcterms:modified>
</cp:coreProperties>
</file>