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D0B" w:rsidRDefault="00DE04A5" w:rsidP="00DE04A5">
      <w:pPr>
        <w:jc w:val="center"/>
        <w:rPr>
          <w:b/>
        </w:rPr>
      </w:pPr>
      <w:r w:rsidRPr="00DE04A5">
        <w:rPr>
          <w:b/>
        </w:rPr>
        <w:t>RETRIBUZIONE ANNUA LORDA SEGRETARIO COMUNALE FASCIA C</w:t>
      </w:r>
    </w:p>
    <w:p w:rsidR="00DE04A5" w:rsidRDefault="00DE04A5" w:rsidP="00DE04A5">
      <w:pPr>
        <w:jc w:val="center"/>
        <w:rPr>
          <w:b/>
        </w:rPr>
      </w:pPr>
      <w:r w:rsidRPr="00DE04A5">
        <w:rPr>
          <w:b/>
        </w:rPr>
        <w:t>Segretari</w:t>
      </w:r>
      <w:r>
        <w:rPr>
          <w:b/>
        </w:rPr>
        <w:t xml:space="preserve">o Comunale Dott.ssa Nadia </w:t>
      </w:r>
      <w:proofErr w:type="spellStart"/>
      <w:r>
        <w:rPr>
          <w:b/>
        </w:rPr>
        <w:t>Gruttadauria</w:t>
      </w:r>
      <w:proofErr w:type="spellEnd"/>
    </w:p>
    <w:tbl>
      <w:tblPr>
        <w:tblStyle w:val="Grigliatabella"/>
        <w:tblW w:w="11434" w:type="dxa"/>
        <w:tblInd w:w="-743" w:type="dxa"/>
        <w:tblLook w:val="04A0" w:firstRow="1" w:lastRow="0" w:firstColumn="1" w:lastColumn="0" w:noHBand="0" w:noVBand="1"/>
      </w:tblPr>
      <w:tblGrid>
        <w:gridCol w:w="1684"/>
        <w:gridCol w:w="1211"/>
        <w:gridCol w:w="1574"/>
        <w:gridCol w:w="1622"/>
        <w:gridCol w:w="1384"/>
        <w:gridCol w:w="1366"/>
        <w:gridCol w:w="1288"/>
        <w:gridCol w:w="1305"/>
      </w:tblGrid>
      <w:tr w:rsidR="00DA7DF3" w:rsidTr="00DE04A5">
        <w:trPr>
          <w:trHeight w:val="532"/>
        </w:trPr>
        <w:tc>
          <w:tcPr>
            <w:tcW w:w="1963" w:type="dxa"/>
          </w:tcPr>
          <w:p w:rsidR="00DE04A5" w:rsidRPr="00DE04A5" w:rsidRDefault="00DE04A5" w:rsidP="00DE04A5">
            <w:pPr>
              <w:jc w:val="center"/>
              <w:rPr>
                <w:b/>
              </w:rPr>
            </w:pPr>
            <w:r w:rsidRPr="00DE04A5">
              <w:rPr>
                <w:b/>
              </w:rPr>
              <w:t>Retribuzione</w:t>
            </w:r>
          </w:p>
          <w:p w:rsidR="00DE04A5" w:rsidRPr="00DE04A5" w:rsidRDefault="00DE04A5" w:rsidP="00DE04A5">
            <w:pPr>
              <w:jc w:val="center"/>
              <w:rPr>
                <w:b/>
              </w:rPr>
            </w:pPr>
            <w:r w:rsidRPr="00DE04A5">
              <w:rPr>
                <w:b/>
              </w:rPr>
              <w:t>tabellare compresa</w:t>
            </w:r>
          </w:p>
          <w:p w:rsidR="00DE04A5" w:rsidRDefault="00DE04A5" w:rsidP="00DE04A5">
            <w:pPr>
              <w:jc w:val="center"/>
              <w:rPr>
                <w:b/>
              </w:rPr>
            </w:pPr>
            <w:r w:rsidRPr="00DE04A5">
              <w:rPr>
                <w:b/>
              </w:rPr>
              <w:t xml:space="preserve">13^ mensilità </w:t>
            </w:r>
          </w:p>
        </w:tc>
        <w:tc>
          <w:tcPr>
            <w:tcW w:w="1283" w:type="dxa"/>
          </w:tcPr>
          <w:p w:rsidR="00DE04A5" w:rsidRDefault="00DE04A5" w:rsidP="00DE04A5">
            <w:pPr>
              <w:jc w:val="center"/>
              <w:rPr>
                <w:b/>
              </w:rPr>
            </w:pPr>
          </w:p>
          <w:p w:rsidR="00DE04A5" w:rsidRPr="00DE04A5" w:rsidRDefault="00DE04A5" w:rsidP="00DE04A5">
            <w:pPr>
              <w:jc w:val="center"/>
              <w:rPr>
                <w:b/>
              </w:rPr>
            </w:pPr>
            <w:r w:rsidRPr="00DE04A5">
              <w:rPr>
                <w:b/>
              </w:rPr>
              <w:t>Indennità di</w:t>
            </w:r>
          </w:p>
          <w:p w:rsidR="00DE04A5" w:rsidRDefault="00DE04A5" w:rsidP="00DE04A5">
            <w:pPr>
              <w:jc w:val="center"/>
              <w:rPr>
                <w:b/>
              </w:rPr>
            </w:pPr>
            <w:r w:rsidRPr="00DE04A5">
              <w:rPr>
                <w:b/>
              </w:rPr>
              <w:t xml:space="preserve">posizione </w:t>
            </w:r>
          </w:p>
        </w:tc>
        <w:tc>
          <w:tcPr>
            <w:tcW w:w="1454" w:type="dxa"/>
          </w:tcPr>
          <w:p w:rsidR="00DE04A5" w:rsidRDefault="00DE04A5" w:rsidP="00DE04A5">
            <w:pPr>
              <w:jc w:val="center"/>
              <w:rPr>
                <w:b/>
              </w:rPr>
            </w:pPr>
          </w:p>
          <w:p w:rsidR="00DE04A5" w:rsidRPr="00DE04A5" w:rsidRDefault="00DE04A5" w:rsidP="00DE04A5">
            <w:pPr>
              <w:jc w:val="center"/>
              <w:rPr>
                <w:b/>
              </w:rPr>
            </w:pPr>
            <w:r w:rsidRPr="00DE04A5">
              <w:rPr>
                <w:b/>
              </w:rPr>
              <w:t>Maggiorazione</w:t>
            </w:r>
          </w:p>
          <w:p w:rsidR="00DE04A5" w:rsidRPr="00DE04A5" w:rsidRDefault="00DE04A5" w:rsidP="00DE04A5">
            <w:pPr>
              <w:jc w:val="center"/>
              <w:rPr>
                <w:b/>
              </w:rPr>
            </w:pPr>
            <w:r w:rsidRPr="00DE04A5">
              <w:rPr>
                <w:b/>
              </w:rPr>
              <w:t>indennità di</w:t>
            </w:r>
          </w:p>
          <w:p w:rsidR="00DE04A5" w:rsidRDefault="00DE04A5" w:rsidP="00DE04A5">
            <w:pPr>
              <w:jc w:val="center"/>
              <w:rPr>
                <w:b/>
              </w:rPr>
            </w:pPr>
            <w:r w:rsidRPr="00DE04A5">
              <w:rPr>
                <w:b/>
              </w:rPr>
              <w:t>posizione (1)</w:t>
            </w:r>
          </w:p>
        </w:tc>
        <w:tc>
          <w:tcPr>
            <w:tcW w:w="1256" w:type="dxa"/>
          </w:tcPr>
          <w:p w:rsidR="00DE04A5" w:rsidRDefault="00DE04A5" w:rsidP="00DE04A5">
            <w:pPr>
              <w:jc w:val="center"/>
              <w:rPr>
                <w:b/>
              </w:rPr>
            </w:pPr>
            <w:r>
              <w:rPr>
                <w:b/>
              </w:rPr>
              <w:t>Maggiorazione indennità di galleggiamento (2)</w:t>
            </w:r>
          </w:p>
        </w:tc>
        <w:tc>
          <w:tcPr>
            <w:tcW w:w="1256" w:type="dxa"/>
          </w:tcPr>
          <w:p w:rsidR="00DA7DF3" w:rsidRPr="00DA7DF3" w:rsidRDefault="00DA7DF3" w:rsidP="00DA7DF3">
            <w:pPr>
              <w:jc w:val="center"/>
              <w:rPr>
                <w:b/>
              </w:rPr>
            </w:pPr>
            <w:r w:rsidRPr="00DA7DF3">
              <w:rPr>
                <w:b/>
              </w:rPr>
              <w:t>Retribuzione di</w:t>
            </w:r>
          </w:p>
          <w:p w:rsidR="00DE04A5" w:rsidRDefault="00DA7DF3" w:rsidP="00DA7DF3">
            <w:pPr>
              <w:jc w:val="center"/>
              <w:rPr>
                <w:b/>
              </w:rPr>
            </w:pPr>
            <w:r w:rsidRPr="00DA7DF3">
              <w:rPr>
                <w:b/>
              </w:rPr>
              <w:t>risultato (</w:t>
            </w:r>
            <w:r>
              <w:rPr>
                <w:b/>
              </w:rPr>
              <w:t>3</w:t>
            </w:r>
            <w:r w:rsidRPr="00DA7DF3">
              <w:rPr>
                <w:b/>
              </w:rPr>
              <w:t>)</w:t>
            </w:r>
          </w:p>
        </w:tc>
        <w:tc>
          <w:tcPr>
            <w:tcW w:w="1256" w:type="dxa"/>
          </w:tcPr>
          <w:p w:rsidR="00DA7DF3" w:rsidRPr="00DA7DF3" w:rsidRDefault="00DA7DF3" w:rsidP="00DA7DF3">
            <w:pPr>
              <w:jc w:val="center"/>
              <w:rPr>
                <w:b/>
              </w:rPr>
            </w:pPr>
            <w:r w:rsidRPr="00DA7DF3">
              <w:rPr>
                <w:b/>
              </w:rPr>
              <w:t>Indennità</w:t>
            </w:r>
          </w:p>
          <w:p w:rsidR="00DA7DF3" w:rsidRPr="00DA7DF3" w:rsidRDefault="00DA7DF3" w:rsidP="00DA7DF3">
            <w:pPr>
              <w:jc w:val="center"/>
              <w:rPr>
                <w:b/>
              </w:rPr>
            </w:pPr>
            <w:r w:rsidRPr="00DA7DF3">
              <w:rPr>
                <w:b/>
              </w:rPr>
              <w:t>convenzione di</w:t>
            </w:r>
          </w:p>
          <w:p w:rsidR="00DE04A5" w:rsidRDefault="00DA7DF3" w:rsidP="00DA7DF3">
            <w:pPr>
              <w:jc w:val="center"/>
              <w:rPr>
                <w:b/>
              </w:rPr>
            </w:pPr>
            <w:r>
              <w:rPr>
                <w:b/>
              </w:rPr>
              <w:t>segreteria (4</w:t>
            </w:r>
            <w:r w:rsidRPr="00DA7DF3">
              <w:rPr>
                <w:b/>
              </w:rPr>
              <w:t>)</w:t>
            </w:r>
          </w:p>
        </w:tc>
        <w:tc>
          <w:tcPr>
            <w:tcW w:w="1483" w:type="dxa"/>
          </w:tcPr>
          <w:p w:rsidR="00DE04A5" w:rsidRDefault="00DA7DF3" w:rsidP="00DE04A5">
            <w:pPr>
              <w:jc w:val="center"/>
              <w:rPr>
                <w:b/>
              </w:rPr>
            </w:pPr>
            <w:r w:rsidRPr="00DA7DF3">
              <w:rPr>
                <w:b/>
              </w:rPr>
              <w:t>Vacanza di contratto</w:t>
            </w:r>
          </w:p>
        </w:tc>
        <w:tc>
          <w:tcPr>
            <w:tcW w:w="1483" w:type="dxa"/>
          </w:tcPr>
          <w:p w:rsidR="00E15DA5" w:rsidRPr="00E15DA5" w:rsidRDefault="00E15DA5" w:rsidP="00E15DA5">
            <w:pPr>
              <w:jc w:val="center"/>
              <w:rPr>
                <w:b/>
              </w:rPr>
            </w:pPr>
            <w:r w:rsidRPr="00E15DA5">
              <w:rPr>
                <w:b/>
              </w:rPr>
              <w:t xml:space="preserve">Totale lordo in </w:t>
            </w:r>
            <w:r>
              <w:rPr>
                <w:b/>
              </w:rPr>
              <w:t>E</w:t>
            </w:r>
            <w:r w:rsidRPr="00E15DA5">
              <w:rPr>
                <w:b/>
              </w:rPr>
              <w:t>uro</w:t>
            </w:r>
          </w:p>
          <w:p w:rsidR="00DE04A5" w:rsidRDefault="00E15DA5" w:rsidP="00E15DA5">
            <w:pPr>
              <w:jc w:val="center"/>
              <w:rPr>
                <w:b/>
              </w:rPr>
            </w:pPr>
            <w:r>
              <w:rPr>
                <w:b/>
              </w:rPr>
              <w:t>(5</w:t>
            </w:r>
            <w:r w:rsidRPr="00E15DA5">
              <w:rPr>
                <w:b/>
              </w:rPr>
              <w:t>)</w:t>
            </w:r>
          </w:p>
        </w:tc>
      </w:tr>
      <w:tr w:rsidR="00DA7DF3" w:rsidTr="00DE04A5">
        <w:trPr>
          <w:trHeight w:val="1094"/>
        </w:trPr>
        <w:tc>
          <w:tcPr>
            <w:tcW w:w="1963" w:type="dxa"/>
          </w:tcPr>
          <w:p w:rsidR="00DE04A5" w:rsidRDefault="00DE04A5" w:rsidP="00DE04A5">
            <w:pPr>
              <w:jc w:val="center"/>
              <w:rPr>
                <w:b/>
              </w:rPr>
            </w:pPr>
          </w:p>
          <w:p w:rsidR="00DE04A5" w:rsidRDefault="00DE04A5" w:rsidP="00DE04A5">
            <w:pPr>
              <w:jc w:val="center"/>
              <w:rPr>
                <w:b/>
              </w:rPr>
            </w:pPr>
            <w:r w:rsidRPr="00DE04A5">
              <w:rPr>
                <w:b/>
              </w:rPr>
              <w:t>€ 34.648,72</w:t>
            </w:r>
          </w:p>
        </w:tc>
        <w:tc>
          <w:tcPr>
            <w:tcW w:w="1283" w:type="dxa"/>
          </w:tcPr>
          <w:p w:rsidR="00DE04A5" w:rsidRDefault="00DE04A5" w:rsidP="00DE04A5">
            <w:pPr>
              <w:jc w:val="center"/>
              <w:rPr>
                <w:b/>
              </w:rPr>
            </w:pPr>
          </w:p>
          <w:p w:rsidR="00DE04A5" w:rsidRDefault="00DE04A5" w:rsidP="00DE04A5">
            <w:pPr>
              <w:jc w:val="center"/>
              <w:rPr>
                <w:b/>
              </w:rPr>
            </w:pPr>
            <w:r w:rsidRPr="00DE04A5">
              <w:rPr>
                <w:b/>
              </w:rPr>
              <w:t>€ 6.768,24</w:t>
            </w:r>
          </w:p>
        </w:tc>
        <w:tc>
          <w:tcPr>
            <w:tcW w:w="1454" w:type="dxa"/>
          </w:tcPr>
          <w:p w:rsidR="00DE04A5" w:rsidRDefault="00DE04A5" w:rsidP="00DE04A5">
            <w:pPr>
              <w:jc w:val="center"/>
              <w:rPr>
                <w:b/>
              </w:rPr>
            </w:pPr>
          </w:p>
          <w:p w:rsidR="00DE04A5" w:rsidRDefault="00DE04A5" w:rsidP="00DE04A5">
            <w:pPr>
              <w:jc w:val="center"/>
              <w:rPr>
                <w:b/>
              </w:rPr>
            </w:pPr>
            <w:r>
              <w:rPr>
                <w:b/>
              </w:rPr>
              <w:t xml:space="preserve">€ </w:t>
            </w:r>
            <w:r w:rsidRPr="00DE04A5">
              <w:rPr>
                <w:b/>
              </w:rPr>
              <w:t>2.788,88</w:t>
            </w:r>
          </w:p>
        </w:tc>
        <w:tc>
          <w:tcPr>
            <w:tcW w:w="1256" w:type="dxa"/>
          </w:tcPr>
          <w:p w:rsidR="00DA7DF3" w:rsidRDefault="00DA7DF3" w:rsidP="00DE04A5">
            <w:pPr>
              <w:jc w:val="center"/>
              <w:rPr>
                <w:b/>
              </w:rPr>
            </w:pPr>
          </w:p>
          <w:p w:rsidR="00DE04A5" w:rsidRDefault="00DA7DF3" w:rsidP="00DE04A5">
            <w:pPr>
              <w:jc w:val="center"/>
              <w:rPr>
                <w:b/>
              </w:rPr>
            </w:pPr>
            <w:r w:rsidRPr="00DA7DF3">
              <w:rPr>
                <w:b/>
              </w:rPr>
              <w:t>€ 1.003,78</w:t>
            </w:r>
          </w:p>
        </w:tc>
        <w:tc>
          <w:tcPr>
            <w:tcW w:w="1256" w:type="dxa"/>
          </w:tcPr>
          <w:p w:rsidR="00DE04A5" w:rsidRDefault="00DE04A5" w:rsidP="00DE04A5">
            <w:pPr>
              <w:jc w:val="center"/>
              <w:rPr>
                <w:b/>
              </w:rPr>
            </w:pPr>
          </w:p>
          <w:p w:rsidR="00DA7DF3" w:rsidRDefault="00DA7DF3" w:rsidP="00DE04A5">
            <w:pPr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1256" w:type="dxa"/>
          </w:tcPr>
          <w:p w:rsidR="00DA7DF3" w:rsidRDefault="00DA7DF3" w:rsidP="00DE04A5">
            <w:pPr>
              <w:jc w:val="center"/>
              <w:rPr>
                <w:b/>
              </w:rPr>
            </w:pPr>
          </w:p>
          <w:p w:rsidR="00DE04A5" w:rsidRDefault="00DA7DF3" w:rsidP="00DE04A5">
            <w:pPr>
              <w:jc w:val="center"/>
              <w:rPr>
                <w:b/>
              </w:rPr>
            </w:pPr>
            <w:r w:rsidRPr="00DA7DF3">
              <w:rPr>
                <w:b/>
              </w:rPr>
              <w:t>€ 11.496,54</w:t>
            </w:r>
          </w:p>
        </w:tc>
        <w:tc>
          <w:tcPr>
            <w:tcW w:w="1483" w:type="dxa"/>
          </w:tcPr>
          <w:p w:rsidR="00DA7DF3" w:rsidRDefault="00DA7DF3" w:rsidP="00DE04A5">
            <w:pPr>
              <w:jc w:val="center"/>
              <w:rPr>
                <w:b/>
              </w:rPr>
            </w:pPr>
          </w:p>
          <w:p w:rsidR="00DE04A5" w:rsidRDefault="00DA7DF3" w:rsidP="00DE04A5">
            <w:pPr>
              <w:jc w:val="center"/>
              <w:rPr>
                <w:b/>
              </w:rPr>
            </w:pPr>
            <w:r w:rsidRPr="00DA7DF3">
              <w:rPr>
                <w:b/>
              </w:rPr>
              <w:t>€ 212,55</w:t>
            </w:r>
          </w:p>
        </w:tc>
        <w:tc>
          <w:tcPr>
            <w:tcW w:w="1483" w:type="dxa"/>
          </w:tcPr>
          <w:p w:rsidR="00E15DA5" w:rsidRDefault="00E15DA5" w:rsidP="00DE04A5">
            <w:pPr>
              <w:jc w:val="center"/>
              <w:rPr>
                <w:b/>
              </w:rPr>
            </w:pPr>
          </w:p>
          <w:p w:rsidR="00DE04A5" w:rsidRDefault="00E15DA5" w:rsidP="00DE04A5">
            <w:pPr>
              <w:jc w:val="center"/>
              <w:rPr>
                <w:b/>
              </w:rPr>
            </w:pPr>
            <w:r w:rsidRPr="00E15DA5">
              <w:rPr>
                <w:b/>
              </w:rPr>
              <w:t>€ 57.482,68</w:t>
            </w:r>
          </w:p>
        </w:tc>
      </w:tr>
    </w:tbl>
    <w:p w:rsidR="00DE04A5" w:rsidRPr="00DE04A5" w:rsidRDefault="00DE04A5" w:rsidP="00DE04A5">
      <w:pPr>
        <w:jc w:val="center"/>
        <w:rPr>
          <w:sz w:val="20"/>
          <w:szCs w:val="20"/>
        </w:rPr>
      </w:pPr>
    </w:p>
    <w:p w:rsidR="00DE04A5" w:rsidRPr="00DE04A5" w:rsidRDefault="00DE04A5" w:rsidP="00DE04A5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DE04A5">
        <w:rPr>
          <w:sz w:val="20"/>
          <w:szCs w:val="20"/>
        </w:rPr>
        <w:t>Maggiorazione retribuzione di posizione (Responsabilità dei servizi ex art. 41 quarto comma CCNL 16/05/2001) – solo per i</w:t>
      </w:r>
      <w:r w:rsidRPr="00DE04A5">
        <w:rPr>
          <w:sz w:val="20"/>
          <w:szCs w:val="20"/>
        </w:rPr>
        <w:t>l</w:t>
      </w:r>
      <w:r w:rsidRPr="00DE04A5">
        <w:rPr>
          <w:sz w:val="20"/>
          <w:szCs w:val="20"/>
        </w:rPr>
        <w:t xml:space="preserve"> </w:t>
      </w:r>
      <w:r w:rsidRPr="00DE04A5">
        <w:rPr>
          <w:sz w:val="20"/>
          <w:szCs w:val="20"/>
        </w:rPr>
        <w:t xml:space="preserve">Comune </w:t>
      </w:r>
      <w:r w:rsidRPr="00DE04A5">
        <w:rPr>
          <w:sz w:val="20"/>
          <w:szCs w:val="20"/>
        </w:rPr>
        <w:t xml:space="preserve">di </w:t>
      </w:r>
      <w:r w:rsidRPr="00DE04A5">
        <w:rPr>
          <w:sz w:val="20"/>
          <w:szCs w:val="20"/>
        </w:rPr>
        <w:t>Balestrino</w:t>
      </w:r>
    </w:p>
    <w:p w:rsidR="00DE04A5" w:rsidRDefault="00DE04A5" w:rsidP="00DA7DF3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Maggiorazione indennità di galleggiamento </w:t>
      </w:r>
      <w:r w:rsidR="00DA7DF3" w:rsidRPr="00DA7DF3">
        <w:rPr>
          <w:sz w:val="20"/>
          <w:szCs w:val="20"/>
        </w:rPr>
        <w:t xml:space="preserve">(Art. 41, comma 5, CCNL </w:t>
      </w:r>
      <w:r w:rsidR="00DA7DF3">
        <w:rPr>
          <w:sz w:val="20"/>
          <w:szCs w:val="20"/>
        </w:rPr>
        <w:t>16/</w:t>
      </w:r>
      <w:r w:rsidR="00DA7DF3" w:rsidRPr="00DA7DF3">
        <w:rPr>
          <w:sz w:val="20"/>
          <w:szCs w:val="20"/>
        </w:rPr>
        <w:t>05</w:t>
      </w:r>
      <w:r w:rsidR="00DA7DF3">
        <w:rPr>
          <w:sz w:val="20"/>
          <w:szCs w:val="20"/>
        </w:rPr>
        <w:t>/</w:t>
      </w:r>
      <w:r w:rsidR="00DA7DF3" w:rsidRPr="00DA7DF3">
        <w:rPr>
          <w:sz w:val="20"/>
          <w:szCs w:val="20"/>
        </w:rPr>
        <w:t xml:space="preserve">2011) </w:t>
      </w:r>
      <w:r w:rsidR="00DA7DF3">
        <w:rPr>
          <w:sz w:val="20"/>
          <w:szCs w:val="20"/>
        </w:rPr>
        <w:t>– solo per il Comune di Cosseria</w:t>
      </w:r>
    </w:p>
    <w:p w:rsidR="00DA7DF3" w:rsidRDefault="00DA7DF3" w:rsidP="00DA7DF3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DA7DF3">
        <w:rPr>
          <w:sz w:val="20"/>
          <w:szCs w:val="20"/>
        </w:rPr>
        <w:t>Retribuzione di risultato 10% monte salari ex art. 42 CCNL 16/05/2001, previa valutazione</w:t>
      </w:r>
    </w:p>
    <w:p w:rsidR="00DA7DF3" w:rsidRDefault="00DA7DF3" w:rsidP="00DA7DF3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DA7DF3">
        <w:rPr>
          <w:sz w:val="20"/>
          <w:szCs w:val="20"/>
        </w:rPr>
        <w:t>Convenzione di segreteria tra i Comuni di:</w:t>
      </w:r>
      <w:r>
        <w:rPr>
          <w:sz w:val="20"/>
          <w:szCs w:val="20"/>
        </w:rPr>
        <w:t xml:space="preserve"> Vendone (Capofila), Balestrino e Cosseria</w:t>
      </w:r>
    </w:p>
    <w:p w:rsidR="00E15DA5" w:rsidRDefault="00E15DA5" w:rsidP="00E15DA5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E15DA5">
        <w:rPr>
          <w:sz w:val="20"/>
          <w:szCs w:val="20"/>
        </w:rPr>
        <w:t>I singoli comuni compartecipano nelle seguenti percentuali alla spesa totale:</w:t>
      </w:r>
    </w:p>
    <w:p w:rsidR="00E15DA5" w:rsidRDefault="00E15DA5" w:rsidP="00E15DA5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Vendone 25% - 9 ore;</w:t>
      </w:r>
    </w:p>
    <w:p w:rsidR="00E15DA5" w:rsidRDefault="00E15DA5" w:rsidP="00E15DA5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Balestrino 33,34% - 12 ore;</w:t>
      </w:r>
    </w:p>
    <w:p w:rsidR="00E15DA5" w:rsidRPr="00DE04A5" w:rsidRDefault="00E15DA5" w:rsidP="00E15DA5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Cosseria 41,66% - 15 ore.</w:t>
      </w:r>
      <w:bookmarkStart w:id="0" w:name="_GoBack"/>
      <w:bookmarkEnd w:id="0"/>
    </w:p>
    <w:sectPr w:rsidR="00E15DA5" w:rsidRPr="00DE04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11EC2"/>
    <w:multiLevelType w:val="hybridMultilevel"/>
    <w:tmpl w:val="A2DE8A7E"/>
    <w:lvl w:ilvl="0" w:tplc="927E8B3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DCF6C4E"/>
    <w:multiLevelType w:val="hybridMultilevel"/>
    <w:tmpl w:val="BD7E4622"/>
    <w:lvl w:ilvl="0" w:tplc="D5800B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E6E"/>
    <w:rsid w:val="002F5E6E"/>
    <w:rsid w:val="00767D0B"/>
    <w:rsid w:val="00DA7DF3"/>
    <w:rsid w:val="00DE04A5"/>
    <w:rsid w:val="00E1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E0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E0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E0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E0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Gruttadauria</dc:creator>
  <cp:lastModifiedBy>Nadia Gruttadauria</cp:lastModifiedBy>
  <cp:revision>2</cp:revision>
  <dcterms:created xsi:type="dcterms:W3CDTF">2017-04-05T08:53:00Z</dcterms:created>
  <dcterms:modified xsi:type="dcterms:W3CDTF">2017-04-05T08:53:00Z</dcterms:modified>
</cp:coreProperties>
</file>